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val="en-US" w:eastAsia="zh-CN"/>
              </w:rPr>
              <w:t>03.220</w:t>
            </w:r>
            <w:r>
              <w:rPr>
                <w:rFonts w:ascii="黑体" w:hAnsi="黑体" w:eastAsia="黑体"/>
                <w:sz w:val="21"/>
                <w:szCs w:val="21"/>
              </w:rPr>
              <w:t xml:space="preserve">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lang w:val="en-US" w:eastAsia="zh-CN"/>
              </w:rPr>
              <w:t>A 16</w:t>
            </w:r>
            <w:r>
              <w:rPr>
                <w:rFonts w:ascii="黑体" w:hAnsi="黑体" w:eastAsia="黑体"/>
                <w:sz w:val="21"/>
                <w:szCs w:val="21"/>
              </w:rPr>
              <w:fldChar w:fldCharType="end"/>
            </w:r>
            <w:bookmarkEnd w:id="1"/>
          </w:p>
        </w:tc>
      </w:tr>
    </w:tbl>
    <w:tbl>
      <w:tblPr>
        <w:tblStyle w:val="29"/>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51"/>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3311</w:t>
            </w:r>
            <w:r>
              <w:fldChar w:fldCharType="end"/>
            </w:r>
            <w:bookmarkEnd w:id="3"/>
          </w:p>
        </w:tc>
      </w:tr>
    </w:tbl>
    <w:p>
      <w:pPr>
        <w:pStyle w:val="52"/>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浙江省丽水市</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7"/>
        <w:framePr w:wrap="around"/>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3311</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pPr>
        <w:pStyle w:val="198"/>
        <w:framePr w:wrap="around"/>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g0mW2AAAAAwBAAAPAAAAAAAAAAEAIAAAACIAAABkcnMv&#10;ZG93bnJldi54bWxQSwECFAAUAAAACACHTuJAeCbvfcoBAABeAwAADgAAAAAAAAABACAAAAAnAQAA&#10;ZHJzL2Uyb0RvYy54bWxQSwUGAAAAAAYABgBZAQAAYwUAAAAA&#10;">
                <v:fill on="f" focussize="0,0"/>
                <v:stroke color="#000000" joinstyle="round"/>
                <v:imagedata o:title=""/>
                <o:lock v:ext="edit" aspectratio="f"/>
              </v:line>
            </w:pict>
          </mc:Fallback>
        </mc:AlternateContent>
      </w:r>
    </w:p>
    <w:p>
      <w:pPr>
        <w:pStyle w:val="52"/>
        <w:framePr w:w="9639" w:h="6976" w:hRule="exact" w:hSpace="0" w:vSpace="0" w:wrap="around" w:hAnchor="page" w:y="6408"/>
        <w:jc w:val="center"/>
        <w:rPr>
          <w:rFonts w:ascii="黑体" w:hAnsi="黑体" w:eastAsia="黑体"/>
          <w:b w:val="0"/>
          <w:bCs w:val="0"/>
          <w:w w:val="100"/>
        </w:rPr>
      </w:pPr>
    </w:p>
    <w:p>
      <w:pPr>
        <w:pStyle w:val="199"/>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lang w:eastAsia="zh-CN"/>
        </w:rPr>
        <w:t>乡村春晚评价</w:t>
      </w:r>
      <w:r>
        <w:t xml:space="preserve">指南 </w:t>
      </w:r>
      <w:r>
        <w:fldChar w:fldCharType="end"/>
      </w:r>
      <w:bookmarkEnd w:id="9"/>
    </w:p>
    <w:p>
      <w:pPr>
        <w:framePr w:w="9639" w:h="6974" w:hRule="exact" w:wrap="around" w:vAnchor="page" w:hAnchor="page" w:x="1419" w:y="6408" w:anchorLock="1"/>
        <w:ind w:left="-1418"/>
      </w:pPr>
    </w:p>
    <w:p>
      <w:pPr>
        <w:pStyle w:val="127"/>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     </w:t>
      </w:r>
      <w:r>
        <w:rPr>
          <w:rFonts w:eastAsia="黑体"/>
          <w:szCs w:val="28"/>
        </w:rPr>
        <w:fldChar w:fldCharType="end"/>
      </w:r>
      <w:bookmarkEnd w:id="10"/>
    </w:p>
    <w:p>
      <w:pPr>
        <w:framePr w:w="9639" w:h="6974" w:hRule="exact" w:wrap="around" w:vAnchor="page" w:hAnchor="page" w:x="1419" w:y="6408" w:anchorLock="1"/>
        <w:spacing w:line="760" w:lineRule="exact"/>
        <w:ind w:left="-1418"/>
      </w:pPr>
    </w:p>
    <w:p>
      <w:pPr>
        <w:pStyle w:val="127"/>
        <w:framePr w:w="9639" w:h="6974" w:hRule="exact" w:wrap="around" w:vAnchor="page" w:hAnchor="page" w:x="1419" w:y="6408" w:anchorLock="1"/>
        <w:textAlignment w:val="bottom"/>
        <w:rPr>
          <w:rFonts w:eastAsia="黑体"/>
          <w:szCs w:val="28"/>
        </w:rPr>
      </w:pPr>
    </w:p>
    <w:p>
      <w:pPr>
        <w:pStyle w:val="127"/>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pPr>
        <w:pStyle w:val="127"/>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bookmarkStart w:id="60" w:name="_GoBack"/>
      <w:bookmarkEnd w:id="60"/>
      <w:r>
        <w:rPr>
          <w:sz w:val="21"/>
          <w:szCs w:val="28"/>
        </w:rPr>
        <w:t>     </w:t>
      </w:r>
      <w:r>
        <w:rPr>
          <w:sz w:val="21"/>
          <w:szCs w:val="28"/>
        </w:rPr>
        <w:fldChar w:fldCharType="end"/>
      </w:r>
      <w:bookmarkEnd w:id="12"/>
    </w:p>
    <w:p>
      <w:pPr>
        <w:pStyle w:val="127"/>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pPr>
        <w:pStyle w:val="195"/>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pPr>
        <w:pStyle w:val="196"/>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pPr>
        <w:pStyle w:val="153"/>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int="eastAsia" w:hAnsi="黑体"/>
          <w:w w:val="100"/>
          <w:sz w:val="28"/>
        </w:rPr>
        <w:t>丽水市市场监督管理局</w:t>
      </w:r>
      <w:r>
        <w:rPr>
          <w:rFonts w:hAnsi="黑体"/>
          <w:w w:val="100"/>
          <w:sz w:val="28"/>
        </w:rPr>
        <w:fldChar w:fldCharType="end"/>
      </w:r>
      <w:bookmarkEnd w:id="20"/>
      <w:r>
        <w:rPr>
          <w:rFonts w:ascii="Times New Roman"/>
          <w:w w:val="100"/>
          <w:sz w:val="28"/>
        </w:rPr>
        <w:t>  </w:t>
      </w:r>
      <w:r>
        <w:rPr>
          <w:rStyle w:val="231"/>
          <w:rFonts w:hint="eastAsia" w:hAnsi="黑体"/>
          <w:position w:val="0"/>
        </w:rPr>
        <w:t>发</w:t>
      </w:r>
      <w:r>
        <w:rPr>
          <w:rStyle w:val="231"/>
          <w:rFonts w:hint="eastAsia" w:hAnsi="黑体"/>
          <w:spacing w:val="0"/>
          <w:position w:val="0"/>
        </w:rPr>
        <w:t>布</w:t>
      </w:r>
    </w:p>
    <w:p>
      <w:pPr>
        <w:rPr>
          <w:rFonts w:ascii="宋体" w:hAnsi="宋体"/>
          <w:sz w:val="28"/>
          <w:szCs w:val="28"/>
        </w:rPr>
        <w:sectPr>
          <w:headerReference r:id="rId5" w:type="first"/>
          <w:footerReference r:id="rId8" w:type="first"/>
          <w:headerReference r:id="rId3" w:type="default"/>
          <w:footerReference r:id="rId6" w:type="default"/>
          <w:headerReference r:id="rId4" w:type="even"/>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rMxz71wAAAA4BAAAPAAAAAAAAAAEAIAAAACIAAABkcnMvZG93&#10;bnJldi54bWxQSwECFAAUAAAACACHTuJAqt0+T8gBAABcAwAADgAAAAAAAAABACAAAAAmAQAAZHJz&#10;L2Uyb0RvYy54bWxQSwUGAAAAAAYABgBZAQAAYAUAAAAA&#10;">
                <v:fill on="f" focussize="0,0"/>
                <v:stroke color="#000000" joinstyle="round"/>
                <v:imagedata o:title=""/>
                <o:lock v:ext="edit" aspectratio="f"/>
                <w10:anchorlock/>
              </v:line>
            </w:pict>
          </mc:Fallback>
        </mc:AlternateContent>
      </w:r>
    </w:p>
    <w:p>
      <w:pPr>
        <w:pStyle w:val="93"/>
        <w:spacing w:after="468"/>
      </w:pPr>
      <w:bookmarkStart w:id="21" w:name="BookMark1"/>
      <w:bookmarkStart w:id="22" w:name="_Toc109662223"/>
      <w:bookmarkStart w:id="23" w:name="_Toc109662242"/>
      <w:r>
        <w:rPr>
          <w:rFonts w:hint="eastAsia"/>
          <w:spacing w:val="320"/>
        </w:rPr>
        <w:t>目</w:t>
      </w:r>
      <w:r>
        <w:rPr>
          <w:rFonts w:hint="eastAsia"/>
        </w:rPr>
        <w:t>次</w:t>
      </w:r>
    </w:p>
    <w:p>
      <w:pPr>
        <w:pStyle w:val="19"/>
        <w:tabs>
          <w:tab w:val="right" w:leader="dot" w:pos="9354"/>
        </w:tabs>
      </w:pPr>
      <w:r>
        <w:rPr>
          <w:rStyle w:val="34"/>
        </w:rPr>
        <w:fldChar w:fldCharType="begin"/>
      </w:r>
      <w:r>
        <w:rPr>
          <w:rStyle w:val="34"/>
        </w:rPr>
        <w:instrText xml:space="preserve"> TOC \o "1-1" \h \t "标准文件_一级条标题,2,标准文件_二级条标题,3,标准文件_三级条标题,4,标准文件_四级条标题,5,标准文件_附录一级条标题,2,标准文件_附录二级条标题,3,标准文件_附录三级条标题,4,标准文件_附录四级条标题,5," </w:instrText>
      </w:r>
      <w:r>
        <w:rPr>
          <w:rStyle w:val="34"/>
        </w:rPr>
        <w:fldChar w:fldCharType="separate"/>
      </w:r>
      <w:r>
        <w:fldChar w:fldCharType="begin"/>
      </w:r>
      <w:r>
        <w:instrText xml:space="preserve"> HYPERLINK \l "_Toc19319" </w:instrText>
      </w:r>
      <w:r>
        <w:fldChar w:fldCharType="separate"/>
      </w:r>
      <w:r>
        <w:rPr>
          <w:spacing w:val="320"/>
        </w:rPr>
        <w:t>前</w:t>
      </w:r>
      <w:r>
        <w:t>言</w:t>
      </w:r>
      <w:r>
        <w:tab/>
      </w:r>
      <w:r>
        <w:fldChar w:fldCharType="begin"/>
      </w:r>
      <w:r>
        <w:instrText xml:space="preserve"> PAGEREF _Toc19319 \h </w:instrText>
      </w:r>
      <w:r>
        <w:fldChar w:fldCharType="separate"/>
      </w:r>
      <w:r>
        <w:t>II</w:t>
      </w:r>
      <w:r>
        <w:fldChar w:fldCharType="end"/>
      </w:r>
      <w:r>
        <w:fldChar w:fldCharType="end"/>
      </w:r>
    </w:p>
    <w:p>
      <w:pPr>
        <w:pStyle w:val="19"/>
        <w:tabs>
          <w:tab w:val="right" w:leader="dot" w:pos="9354"/>
        </w:tabs>
        <w:rPr>
          <w:rFonts w:hAnsi="宋体" w:cs="宋体"/>
        </w:rPr>
      </w:pPr>
      <w:r>
        <w:fldChar w:fldCharType="begin"/>
      </w:r>
      <w:r>
        <w:instrText xml:space="preserve"> HYPERLINK \l "_Toc26427" </w:instrText>
      </w:r>
      <w:r>
        <w:fldChar w:fldCharType="separate"/>
      </w:r>
      <w:r>
        <w:rPr>
          <w:rFonts w:hint="eastAsia" w:hAnsi="宋体" w:cs="宋体"/>
        </w:rPr>
        <w:t>1 范围</w:t>
      </w:r>
      <w:r>
        <w:rPr>
          <w:rFonts w:hint="eastAsia" w:hAnsi="宋体" w:cs="宋体"/>
        </w:rPr>
        <w:tab/>
      </w:r>
      <w:r>
        <w:rPr>
          <w:rFonts w:hint="eastAsia" w:hAnsi="宋体" w:cs="宋体"/>
        </w:rPr>
        <w:fldChar w:fldCharType="begin"/>
      </w:r>
      <w:r>
        <w:rPr>
          <w:rFonts w:hint="eastAsia" w:hAnsi="宋体" w:cs="宋体"/>
        </w:rPr>
        <w:instrText xml:space="preserve"> PAGEREF _Toc26427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pPr>
        <w:pStyle w:val="19"/>
        <w:tabs>
          <w:tab w:val="right" w:leader="dot" w:pos="9354"/>
        </w:tabs>
        <w:rPr>
          <w:rFonts w:hAnsi="宋体" w:cs="宋体"/>
        </w:rPr>
      </w:pPr>
      <w:r>
        <w:fldChar w:fldCharType="begin"/>
      </w:r>
      <w:r>
        <w:instrText xml:space="preserve"> HYPERLINK \l "_Toc19787" </w:instrText>
      </w:r>
      <w:r>
        <w:fldChar w:fldCharType="separate"/>
      </w:r>
      <w:r>
        <w:rPr>
          <w:rFonts w:hint="eastAsia" w:hAnsi="宋体" w:cs="宋体"/>
        </w:rPr>
        <w:t>2 规范性引用文件</w:t>
      </w:r>
      <w:r>
        <w:rPr>
          <w:rFonts w:hint="eastAsia" w:hAnsi="宋体" w:cs="宋体"/>
        </w:rPr>
        <w:tab/>
      </w:r>
      <w:r>
        <w:rPr>
          <w:rFonts w:hint="eastAsia" w:hAnsi="宋体" w:cs="宋体"/>
        </w:rPr>
        <w:fldChar w:fldCharType="begin"/>
      </w:r>
      <w:r>
        <w:rPr>
          <w:rFonts w:hint="eastAsia" w:hAnsi="宋体" w:cs="宋体"/>
        </w:rPr>
        <w:instrText xml:space="preserve"> PAGEREF _Toc19787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pPr>
        <w:pStyle w:val="19"/>
        <w:tabs>
          <w:tab w:val="right" w:leader="dot" w:pos="9354"/>
        </w:tabs>
        <w:rPr>
          <w:rFonts w:hAnsi="宋体" w:cs="宋体"/>
        </w:rPr>
      </w:pPr>
      <w:r>
        <w:fldChar w:fldCharType="begin"/>
      </w:r>
      <w:r>
        <w:instrText xml:space="preserve"> HYPERLINK \l "_Toc5620" </w:instrText>
      </w:r>
      <w:r>
        <w:fldChar w:fldCharType="separate"/>
      </w:r>
      <w:r>
        <w:rPr>
          <w:rFonts w:hint="eastAsia" w:hAnsi="宋体" w:cs="宋体"/>
        </w:rPr>
        <w:t>3 术语和定义</w:t>
      </w:r>
      <w:r>
        <w:rPr>
          <w:rFonts w:hint="eastAsia" w:hAnsi="宋体" w:cs="宋体"/>
        </w:rPr>
        <w:tab/>
      </w:r>
      <w:r>
        <w:rPr>
          <w:rFonts w:hint="eastAsia" w:hAnsi="宋体" w:cs="宋体"/>
        </w:rPr>
        <w:fldChar w:fldCharType="begin"/>
      </w:r>
      <w:r>
        <w:rPr>
          <w:rFonts w:hint="eastAsia" w:hAnsi="宋体" w:cs="宋体"/>
        </w:rPr>
        <w:instrText xml:space="preserve"> PAGEREF _Toc5620 \h </w:instrText>
      </w:r>
      <w:r>
        <w:rPr>
          <w:rFonts w:hint="eastAsia" w:hAnsi="宋体" w:cs="宋体"/>
        </w:rPr>
        <w:fldChar w:fldCharType="separate"/>
      </w:r>
      <w:r>
        <w:rPr>
          <w:rFonts w:hint="eastAsia" w:hAnsi="宋体" w:cs="宋体"/>
        </w:rPr>
        <w:t>1</w:t>
      </w:r>
      <w:r>
        <w:rPr>
          <w:rFonts w:hint="eastAsia" w:hAnsi="宋体" w:cs="宋体"/>
        </w:rPr>
        <w:fldChar w:fldCharType="end"/>
      </w:r>
      <w:r>
        <w:rPr>
          <w:rFonts w:hint="eastAsia" w:hAnsi="宋体" w:cs="宋体"/>
        </w:rPr>
        <w:fldChar w:fldCharType="end"/>
      </w:r>
    </w:p>
    <w:p>
      <w:pPr>
        <w:pStyle w:val="19"/>
        <w:tabs>
          <w:tab w:val="right" w:leader="dot" w:pos="9354"/>
        </w:tabs>
        <w:rPr>
          <w:rFonts w:hAnsi="宋体" w:cs="宋体"/>
        </w:rPr>
      </w:pPr>
      <w:r>
        <w:fldChar w:fldCharType="begin"/>
      </w:r>
      <w:r>
        <w:instrText xml:space="preserve"> HYPERLINK \l "_Toc5789" </w:instrText>
      </w:r>
      <w:r>
        <w:fldChar w:fldCharType="separate"/>
      </w:r>
      <w:r>
        <w:rPr>
          <w:rFonts w:hint="eastAsia" w:hAnsi="宋体" w:cs="宋体"/>
        </w:rPr>
        <w:t>4 总体原则</w:t>
      </w:r>
      <w:r>
        <w:rPr>
          <w:rFonts w:hint="eastAsia" w:hAnsi="宋体" w:cs="宋体"/>
        </w:rPr>
        <w:tab/>
      </w:r>
      <w:r>
        <w:rPr>
          <w:rFonts w:hint="eastAsia" w:hAnsi="宋体" w:cs="宋体"/>
          <w:lang w:val="en-US" w:eastAsia="zh-CN"/>
        </w:rPr>
        <w:t>1</w:t>
      </w:r>
      <w:r>
        <w:rPr>
          <w:rFonts w:hint="eastAsia" w:hAnsi="宋体" w:cs="宋体"/>
        </w:rPr>
        <w:fldChar w:fldCharType="end"/>
      </w:r>
    </w:p>
    <w:p>
      <w:pPr>
        <w:pStyle w:val="19"/>
        <w:tabs>
          <w:tab w:val="right" w:leader="dot" w:pos="9354"/>
        </w:tabs>
        <w:rPr>
          <w:rFonts w:hAnsi="宋体" w:cs="宋体"/>
        </w:rPr>
      </w:pPr>
      <w:r>
        <w:fldChar w:fldCharType="begin"/>
      </w:r>
      <w:r>
        <w:instrText xml:space="preserve"> HYPERLINK \l "_Toc25184" </w:instrText>
      </w:r>
      <w:r>
        <w:fldChar w:fldCharType="separate"/>
      </w:r>
      <w:r>
        <w:rPr>
          <w:rFonts w:hint="eastAsia" w:hAnsi="宋体" w:cs="宋体"/>
          <w:lang w:val="en-US" w:eastAsia="zh-CN"/>
        </w:rPr>
        <w:t>5</w:t>
      </w:r>
      <w:r>
        <w:rPr>
          <w:rFonts w:hint="eastAsia" w:hAnsi="宋体" w:cs="宋体"/>
        </w:rPr>
        <w:t xml:space="preserve"> </w:t>
      </w:r>
      <w:r>
        <w:rPr>
          <w:rFonts w:hint="eastAsia" w:hAnsi="宋体" w:cs="宋体"/>
          <w:lang w:eastAsia="zh-CN"/>
        </w:rPr>
        <w:t>评价指标</w:t>
      </w:r>
      <w:r>
        <w:rPr>
          <w:rFonts w:hint="eastAsia" w:hAnsi="宋体" w:cs="宋体"/>
        </w:rPr>
        <w:tab/>
      </w:r>
      <w:r>
        <w:rPr>
          <w:rFonts w:hint="eastAsia" w:hAnsi="宋体" w:cs="宋体"/>
          <w:lang w:val="en-US" w:eastAsia="zh-CN"/>
        </w:rPr>
        <w:t>2</w:t>
      </w:r>
      <w:r>
        <w:rPr>
          <w:rFonts w:hint="eastAsia" w:hAnsi="宋体" w:cs="宋体"/>
        </w:rPr>
        <w:fldChar w:fldCharType="end"/>
      </w:r>
    </w:p>
    <w:p>
      <w:pPr>
        <w:pStyle w:val="19"/>
        <w:tabs>
          <w:tab w:val="right" w:leader="dot" w:pos="9354"/>
        </w:tabs>
        <w:rPr>
          <w:rFonts w:hAnsi="宋体" w:cs="宋体"/>
        </w:rPr>
      </w:pPr>
      <w:r>
        <w:fldChar w:fldCharType="begin"/>
      </w:r>
      <w:r>
        <w:instrText xml:space="preserve"> HYPERLINK \l "_Toc13917" </w:instrText>
      </w:r>
      <w:r>
        <w:fldChar w:fldCharType="separate"/>
      </w:r>
      <w:r>
        <w:rPr>
          <w:rFonts w:hint="eastAsia" w:hAnsi="宋体" w:cs="宋体"/>
          <w:lang w:val="en-US" w:eastAsia="zh-CN"/>
        </w:rPr>
        <w:t>6</w:t>
      </w:r>
      <w:r>
        <w:rPr>
          <w:rFonts w:hint="eastAsia" w:hAnsi="宋体" w:cs="宋体"/>
        </w:rPr>
        <w:t xml:space="preserve"> </w:t>
      </w:r>
      <w:r>
        <w:rPr>
          <w:rFonts w:hint="eastAsia" w:hAnsi="宋体" w:cs="宋体"/>
          <w:lang w:eastAsia="zh-CN"/>
        </w:rPr>
        <w:t>评价方法</w:t>
      </w:r>
      <w:r>
        <w:rPr>
          <w:rFonts w:hint="eastAsia" w:hAnsi="宋体" w:cs="宋体"/>
        </w:rPr>
        <w:tab/>
      </w:r>
      <w:r>
        <w:rPr>
          <w:rFonts w:hint="eastAsia" w:hAnsi="宋体" w:cs="宋体"/>
          <w:lang w:val="en-US" w:eastAsia="zh-CN"/>
        </w:rPr>
        <w:t>2</w:t>
      </w:r>
      <w:r>
        <w:rPr>
          <w:rFonts w:hint="eastAsia" w:hAnsi="宋体" w:cs="宋体"/>
        </w:rPr>
        <w:fldChar w:fldCharType="end"/>
      </w:r>
    </w:p>
    <w:p>
      <w:pPr>
        <w:pStyle w:val="19"/>
        <w:tabs>
          <w:tab w:val="right" w:leader="dot" w:pos="9354"/>
        </w:tabs>
        <w:rPr>
          <w:rFonts w:hAnsi="宋体" w:cs="宋体"/>
        </w:rPr>
      </w:pPr>
      <w:r>
        <w:fldChar w:fldCharType="begin"/>
      </w:r>
      <w:r>
        <w:instrText xml:space="preserve"> HYPERLINK \l "_Toc5912" </w:instrText>
      </w:r>
      <w:r>
        <w:fldChar w:fldCharType="separate"/>
      </w:r>
      <w:r>
        <w:rPr>
          <w:rFonts w:hint="eastAsia"/>
          <w:lang w:val="en-US" w:eastAsia="zh-CN"/>
        </w:rPr>
        <w:t>7</w:t>
      </w:r>
      <w:r>
        <w:rPr>
          <w:rFonts w:hint="eastAsia" w:hAnsi="宋体" w:cs="宋体"/>
        </w:rPr>
        <w:t xml:space="preserve"> </w:t>
      </w:r>
      <w:r>
        <w:rPr>
          <w:rFonts w:hint="eastAsia" w:hAnsi="宋体" w:cs="宋体"/>
          <w:lang w:eastAsia="zh-CN"/>
        </w:rPr>
        <w:t>评价程序</w:t>
      </w:r>
      <w:r>
        <w:rPr>
          <w:rFonts w:hint="eastAsia" w:hAnsi="宋体" w:cs="宋体"/>
        </w:rPr>
        <w:tab/>
      </w:r>
      <w:r>
        <w:rPr>
          <w:rFonts w:hint="eastAsia" w:hAnsi="宋体" w:cs="宋体"/>
        </w:rPr>
        <w:fldChar w:fldCharType="begin"/>
      </w:r>
      <w:r>
        <w:rPr>
          <w:rFonts w:hint="eastAsia" w:hAnsi="宋体" w:cs="宋体"/>
        </w:rPr>
        <w:instrText xml:space="preserve"> PAGEREF _Toc5912 \h </w:instrText>
      </w:r>
      <w:r>
        <w:rPr>
          <w:rFonts w:hint="eastAsia" w:hAnsi="宋体" w:cs="宋体"/>
        </w:rPr>
        <w:fldChar w:fldCharType="separate"/>
      </w:r>
      <w:r>
        <w:rPr>
          <w:rFonts w:hint="eastAsia" w:hAnsi="宋体" w:cs="宋体"/>
        </w:rPr>
        <w:t>3</w:t>
      </w:r>
      <w:r>
        <w:rPr>
          <w:rFonts w:hint="eastAsia" w:hAnsi="宋体" w:cs="宋体"/>
        </w:rPr>
        <w:fldChar w:fldCharType="end"/>
      </w:r>
      <w:r>
        <w:rPr>
          <w:rFonts w:hint="eastAsia" w:hAnsi="宋体" w:cs="宋体"/>
        </w:rPr>
        <w:fldChar w:fldCharType="end"/>
      </w:r>
    </w:p>
    <w:p>
      <w:pPr>
        <w:pStyle w:val="19"/>
        <w:tabs>
          <w:tab w:val="right" w:leader="dot" w:pos="9354"/>
        </w:tabs>
        <w:rPr>
          <w:rFonts w:hAnsi="宋体" w:cs="宋体"/>
        </w:rPr>
      </w:pPr>
      <w:r>
        <w:fldChar w:fldCharType="begin"/>
      </w:r>
      <w:r>
        <w:instrText xml:space="preserve"> HYPERLINK \l "_Toc31358" </w:instrText>
      </w:r>
      <w:r>
        <w:fldChar w:fldCharType="separate"/>
      </w:r>
      <w:r>
        <w:rPr>
          <w:rFonts w:hint="eastAsia" w:hAnsi="宋体" w:cs="宋体"/>
          <w:lang w:val="en-US" w:eastAsia="zh-CN"/>
        </w:rPr>
        <w:t>8</w:t>
      </w:r>
      <w:r>
        <w:rPr>
          <w:rFonts w:hint="eastAsia" w:hAnsi="宋体" w:cs="宋体"/>
        </w:rPr>
        <w:t xml:space="preserve"> </w:t>
      </w:r>
      <w:r>
        <w:rPr>
          <w:rFonts w:hint="eastAsia" w:hAnsi="宋体" w:cs="宋体"/>
          <w:lang w:eastAsia="zh-CN"/>
        </w:rPr>
        <w:t>评价运用</w:t>
      </w:r>
      <w:r>
        <w:rPr>
          <w:rFonts w:hint="eastAsia" w:hAnsi="宋体" w:cs="宋体"/>
        </w:rPr>
        <w:tab/>
      </w:r>
      <w:r>
        <w:rPr>
          <w:rFonts w:hint="eastAsia" w:hAnsi="宋体" w:cs="宋体"/>
        </w:rPr>
        <w:fldChar w:fldCharType="begin"/>
      </w:r>
      <w:r>
        <w:rPr>
          <w:rFonts w:hint="eastAsia" w:hAnsi="宋体" w:cs="宋体"/>
        </w:rPr>
        <w:instrText xml:space="preserve"> PAGEREF _Toc31358 \h </w:instrText>
      </w:r>
      <w:r>
        <w:rPr>
          <w:rFonts w:hint="eastAsia" w:hAnsi="宋体" w:cs="宋体"/>
        </w:rPr>
        <w:fldChar w:fldCharType="separate"/>
      </w:r>
      <w:r>
        <w:rPr>
          <w:rFonts w:hint="eastAsia" w:hAnsi="宋体" w:cs="宋体"/>
        </w:rPr>
        <w:t>3</w:t>
      </w:r>
      <w:r>
        <w:rPr>
          <w:rFonts w:hint="eastAsia" w:hAnsi="宋体" w:cs="宋体"/>
        </w:rPr>
        <w:fldChar w:fldCharType="end"/>
      </w:r>
      <w:r>
        <w:rPr>
          <w:rFonts w:hint="eastAsia" w:hAnsi="宋体" w:cs="宋体"/>
        </w:rPr>
        <w:fldChar w:fldCharType="end"/>
      </w:r>
    </w:p>
    <w:p>
      <w:pPr>
        <w:pStyle w:val="19"/>
        <w:tabs>
          <w:tab w:val="right" w:leader="dot" w:pos="9354"/>
        </w:tabs>
        <w:rPr>
          <w:rFonts w:hint="eastAsia" w:hAnsi="宋体" w:cs="宋体"/>
        </w:rPr>
      </w:pPr>
    </w:p>
    <w:p/>
    <w:p>
      <w:pPr>
        <w:pStyle w:val="19"/>
        <w:tabs>
          <w:tab w:val="right" w:leader="dot" w:pos="9344"/>
        </w:tabs>
        <w:sectPr>
          <w:headerReference r:id="rId9" w:type="default"/>
          <w:footerReference r:id="rId11" w:type="default"/>
          <w:headerReference r:id="rId10"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1"/>
    <w:p>
      <w:pPr>
        <w:pStyle w:val="91"/>
        <w:numPr>
          <w:ilvl w:val="0"/>
          <w:numId w:val="0"/>
        </w:numPr>
        <w:spacing w:before="900" w:after="468"/>
        <w:ind w:left="424" w:leftChars="202" w:firstLine="2880" w:firstLineChars="300"/>
        <w:jc w:val="both"/>
      </w:pPr>
      <w:bookmarkStart w:id="24" w:name="_Toc19319"/>
      <w:bookmarkStart w:id="25" w:name="BookMark2"/>
      <w:r>
        <w:rPr>
          <w:spacing w:val="320"/>
        </w:rPr>
        <w:t>前</w:t>
      </w:r>
      <w:r>
        <w:t>言</w:t>
      </w:r>
      <w:bookmarkEnd w:id="22"/>
      <w:bookmarkEnd w:id="23"/>
      <w:bookmarkEnd w:id="24"/>
    </w:p>
    <w:p>
      <w:pPr>
        <w:pStyle w:val="58"/>
        <w:ind w:firstLine="420"/>
      </w:pPr>
      <w:r>
        <w:rPr>
          <w:rFonts w:hint="eastAsia"/>
        </w:rPr>
        <w:t>本文件按照GB/T 1.1—2020《标准化工作导则  第1部分：标准化文件的结构和起草规则》的规定起草。</w:t>
      </w:r>
    </w:p>
    <w:p>
      <w:pPr>
        <w:pStyle w:val="58"/>
        <w:ind w:firstLine="420"/>
        <w:rPr>
          <w:rFonts w:hAnsi="Calibri"/>
          <w:kern w:val="2"/>
          <w:szCs w:val="21"/>
        </w:rPr>
      </w:pPr>
      <w:r>
        <w:rPr>
          <w:rFonts w:hint="eastAsia" w:hAnsi="Calibri"/>
          <w:kern w:val="2"/>
          <w:szCs w:val="21"/>
        </w:rPr>
        <w:t>请注意本文件的某些内容可能涉及专利。本文件的发布机构不承担识别专利的责任。</w:t>
      </w:r>
    </w:p>
    <w:p>
      <w:pPr>
        <w:pStyle w:val="58"/>
        <w:ind w:firstLine="420"/>
        <w:rPr>
          <w:rFonts w:hAnsi="Calibri"/>
          <w:kern w:val="2"/>
          <w:szCs w:val="21"/>
        </w:rPr>
      </w:pPr>
      <w:r>
        <w:rPr>
          <w:rFonts w:hint="eastAsia" w:hAnsi="Calibri"/>
          <w:kern w:val="2"/>
          <w:szCs w:val="21"/>
        </w:rPr>
        <w:t>本文件由丽水市</w:t>
      </w:r>
      <w:r>
        <w:rPr>
          <w:rFonts w:hint="eastAsia" w:hAnsi="Calibri"/>
          <w:kern w:val="2"/>
          <w:szCs w:val="21"/>
          <w:lang w:eastAsia="zh-CN"/>
        </w:rPr>
        <w:t>文广旅体局</w:t>
      </w:r>
      <w:r>
        <w:rPr>
          <w:rFonts w:hint="eastAsia" w:hAnsi="Calibri"/>
          <w:kern w:val="2"/>
          <w:szCs w:val="21"/>
        </w:rPr>
        <w:t>提出并归口。</w:t>
      </w:r>
    </w:p>
    <w:p>
      <w:pPr>
        <w:pStyle w:val="58"/>
        <w:ind w:firstLine="420"/>
        <w:rPr>
          <w:rFonts w:hAnsi="Calibri"/>
          <w:kern w:val="2"/>
          <w:szCs w:val="21"/>
        </w:rPr>
      </w:pPr>
      <w:r>
        <w:rPr>
          <w:rFonts w:hint="eastAsia" w:hAnsi="Calibri"/>
          <w:kern w:val="2"/>
          <w:szCs w:val="21"/>
        </w:rPr>
        <w:t>本文件起草单位：</w:t>
      </w:r>
    </w:p>
    <w:p>
      <w:pPr>
        <w:pStyle w:val="58"/>
        <w:ind w:firstLine="420"/>
        <w:rPr>
          <w:rFonts w:hAnsi="Calibri"/>
          <w:kern w:val="2"/>
          <w:szCs w:val="21"/>
        </w:rPr>
      </w:pPr>
      <w:r>
        <w:rPr>
          <w:rFonts w:hint="eastAsia" w:hAnsi="Calibri"/>
          <w:kern w:val="2"/>
          <w:szCs w:val="21"/>
        </w:rPr>
        <w:t>本文件主要起草人：</w:t>
      </w:r>
    </w:p>
    <w:p>
      <w:pPr>
        <w:widowControl/>
        <w:tabs>
          <w:tab w:val="center" w:pos="4201"/>
          <w:tab w:val="right" w:leader="dot" w:pos="9298"/>
        </w:tabs>
        <w:autoSpaceDE w:val="0"/>
        <w:autoSpaceDN w:val="0"/>
        <w:ind w:firstLine="420" w:firstLineChars="200"/>
        <w:rPr>
          <w:rFonts w:ascii="宋体"/>
        </w:rPr>
      </w:pPr>
      <w:r>
        <w:rPr>
          <w:rFonts w:hint="eastAsia" w:ascii="宋体"/>
        </w:rPr>
        <w:t>本文件属首次发布。</w:t>
      </w:r>
    </w:p>
    <w:p>
      <w:pPr>
        <w:pStyle w:val="58"/>
        <w:ind w:firstLine="420"/>
        <w:sectPr>
          <w:pgSz w:w="11906" w:h="16838"/>
          <w:pgMar w:top="1928" w:right="1134" w:bottom="1134" w:left="1134" w:header="1418" w:footer="1134" w:gutter="284"/>
          <w:pgNumType w:fmt="upperRoman"/>
          <w:cols w:space="425" w:num="1"/>
          <w:formProt w:val="0"/>
          <w:docGrid w:type="lines" w:linePitch="312" w:charSpace="0"/>
        </w:sectPr>
      </w:pPr>
    </w:p>
    <w:bookmarkEnd w:id="25"/>
    <w:p>
      <w:pPr>
        <w:spacing w:line="20" w:lineRule="exact"/>
        <w:jc w:val="center"/>
        <w:rPr>
          <w:rFonts w:ascii="黑体" w:hAnsi="黑体" w:eastAsia="黑体"/>
          <w:sz w:val="32"/>
          <w:szCs w:val="32"/>
        </w:rPr>
      </w:pPr>
      <w:bookmarkStart w:id="26" w:name="BookMark4"/>
    </w:p>
    <w:p>
      <w:pPr>
        <w:spacing w:line="20" w:lineRule="exact"/>
        <w:jc w:val="center"/>
        <w:rPr>
          <w:rFonts w:ascii="黑体" w:hAnsi="黑体" w:eastAsia="黑体"/>
          <w:sz w:val="32"/>
          <w:szCs w:val="32"/>
        </w:rPr>
      </w:pPr>
    </w:p>
    <w:sdt>
      <w:sdtPr>
        <w:tag w:val="NEW_STAND_NAME"/>
        <w:id w:val="595910757"/>
        <w:lock w:val="sdtLocked"/>
        <w:placeholder>
          <w:docPart w:val="B7A3E6B111CB405A91F63334C8205AF5"/>
        </w:placeholder>
      </w:sdtPr>
      <w:sdtContent>
        <w:p>
          <w:pPr>
            <w:pStyle w:val="179"/>
            <w:spacing w:before="312" w:beforeLines="100" w:after="686" w:afterLines="220"/>
          </w:pPr>
          <w:bookmarkStart w:id="27" w:name="NEW_STAND_NAME"/>
          <w:r>
            <w:rPr>
              <w:rFonts w:hint="eastAsia"/>
              <w:lang w:eastAsia="zh-CN"/>
            </w:rPr>
            <w:t>乡村春晚评价</w:t>
          </w:r>
          <w:r>
            <w:rPr>
              <w:rFonts w:hint="eastAsia"/>
            </w:rPr>
            <w:t>指南</w:t>
          </w:r>
          <w:r>
            <w:t xml:space="preserve"> </w:t>
          </w:r>
        </w:p>
      </w:sdtContent>
    </w:sdt>
    <w:bookmarkEnd w:id="27"/>
    <w:p>
      <w:pPr>
        <w:pStyle w:val="106"/>
        <w:spacing w:before="312" w:after="312"/>
      </w:pPr>
      <w:bookmarkStart w:id="28" w:name="_Toc26986530"/>
      <w:bookmarkStart w:id="29" w:name="_Toc24884211"/>
      <w:bookmarkStart w:id="30" w:name="_Toc17233325"/>
      <w:bookmarkStart w:id="31" w:name="_Toc26648465"/>
      <w:bookmarkStart w:id="32" w:name="_Toc109662243"/>
      <w:bookmarkStart w:id="33" w:name="_Toc17233333"/>
      <w:bookmarkStart w:id="34" w:name="_Toc109662224"/>
      <w:bookmarkStart w:id="35" w:name="_Toc26986771"/>
      <w:bookmarkStart w:id="36" w:name="_Toc24884218"/>
      <w:bookmarkStart w:id="37" w:name="_Toc26718930"/>
      <w:bookmarkStart w:id="38" w:name="_Toc97191423"/>
      <w:bookmarkStart w:id="39" w:name="_Toc26427"/>
      <w:r>
        <w:rPr>
          <w:rFonts w:hint="eastAsia"/>
        </w:rPr>
        <w:t>范围</w:t>
      </w:r>
      <w:bookmarkEnd w:id="28"/>
      <w:bookmarkEnd w:id="29"/>
      <w:bookmarkEnd w:id="30"/>
      <w:bookmarkEnd w:id="31"/>
      <w:bookmarkEnd w:id="32"/>
      <w:bookmarkEnd w:id="33"/>
      <w:bookmarkEnd w:id="34"/>
      <w:bookmarkEnd w:id="35"/>
      <w:bookmarkEnd w:id="36"/>
      <w:bookmarkEnd w:id="37"/>
      <w:bookmarkEnd w:id="38"/>
      <w:bookmarkEnd w:id="39"/>
    </w:p>
    <w:p>
      <w:pPr>
        <w:pStyle w:val="58"/>
        <w:ind w:firstLine="420"/>
        <w:rPr>
          <w:rFonts w:hint="eastAsia"/>
          <w:lang w:eastAsia="zh-CN"/>
        </w:rPr>
      </w:pPr>
      <w:bookmarkStart w:id="40" w:name="_Toc17233334"/>
      <w:bookmarkStart w:id="41" w:name="_Toc24884212"/>
      <w:bookmarkStart w:id="42" w:name="_Toc17233326"/>
      <w:bookmarkStart w:id="43" w:name="_Toc26648466"/>
      <w:bookmarkStart w:id="44" w:name="_Toc24884219"/>
      <w:r>
        <w:rPr>
          <w:rFonts w:hint="eastAsia"/>
        </w:rPr>
        <w:t>本文件给出了开展</w:t>
      </w:r>
      <w:r>
        <w:rPr>
          <w:rFonts w:hint="eastAsia"/>
          <w:lang w:eastAsia="zh-CN"/>
        </w:rPr>
        <w:t>乡村春晚评价</w:t>
      </w:r>
      <w:r>
        <w:rPr>
          <w:rFonts w:hint="eastAsia"/>
        </w:rPr>
        <w:t>的总体原则</w:t>
      </w:r>
      <w:r>
        <w:rPr>
          <w:rFonts w:hint="eastAsia"/>
          <w:lang w:eastAsia="zh-CN"/>
        </w:rPr>
        <w:t>，并从评价指标、评价方法、评价程序、评价运用等方面提出了建议。</w:t>
      </w:r>
    </w:p>
    <w:p>
      <w:pPr>
        <w:pStyle w:val="58"/>
        <w:ind w:firstLine="420"/>
      </w:pPr>
      <w:r>
        <w:rPr>
          <w:rFonts w:hint="eastAsia"/>
        </w:rPr>
        <w:t>本文件旨在为</w:t>
      </w:r>
      <w:r>
        <w:rPr>
          <w:rFonts w:hint="eastAsia"/>
          <w:lang w:eastAsia="zh-CN"/>
        </w:rPr>
        <w:t>乡村春晚评价</w:t>
      </w:r>
      <w:r>
        <w:rPr>
          <w:rFonts w:hint="eastAsia"/>
        </w:rPr>
        <w:t>提供指导。</w:t>
      </w:r>
    </w:p>
    <w:p>
      <w:pPr>
        <w:pStyle w:val="106"/>
        <w:spacing w:before="312" w:after="312"/>
      </w:pPr>
      <w:bookmarkStart w:id="45" w:name="_Toc109662244"/>
      <w:bookmarkStart w:id="46" w:name="_Toc26986531"/>
      <w:bookmarkStart w:id="47" w:name="_Toc97191424"/>
      <w:bookmarkStart w:id="48" w:name="_Toc26718931"/>
      <w:bookmarkStart w:id="49" w:name="_Toc19787"/>
      <w:bookmarkStart w:id="50" w:name="_Toc26986772"/>
      <w:bookmarkStart w:id="51" w:name="_Toc109662225"/>
      <w:r>
        <w:rPr>
          <w:rFonts w:hint="eastAsia"/>
        </w:rPr>
        <w:t>规范性引用文件</w:t>
      </w:r>
      <w:bookmarkEnd w:id="40"/>
      <w:bookmarkEnd w:id="41"/>
      <w:bookmarkEnd w:id="42"/>
      <w:bookmarkEnd w:id="43"/>
      <w:bookmarkEnd w:id="44"/>
      <w:bookmarkEnd w:id="45"/>
      <w:bookmarkEnd w:id="46"/>
      <w:bookmarkEnd w:id="47"/>
      <w:bookmarkEnd w:id="48"/>
      <w:bookmarkEnd w:id="49"/>
      <w:bookmarkEnd w:id="50"/>
      <w:bookmarkEnd w:id="51"/>
    </w:p>
    <w:sdt>
      <w:sdtPr>
        <w:rPr>
          <w:rFonts w:hint="eastAsia"/>
        </w:rPr>
        <w:id w:val="715848253"/>
        <w:placeholder>
          <w:docPart w:val="FC53762C22A14969941ACE45E4885C6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8"/>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keepNext w:val="0"/>
        <w:keepLines w:val="0"/>
        <w:pageBreakBefore w:val="0"/>
        <w:widowControl/>
        <w:suppressLineNumbers w:val="0"/>
        <w:kinsoku/>
        <w:wordWrap/>
        <w:overflowPunct/>
        <w:topLinePunct w:val="0"/>
        <w:autoSpaceDE/>
        <w:autoSpaceDN/>
        <w:bidi w:val="0"/>
        <w:adjustRightInd w:val="0"/>
        <w:snapToGrid/>
        <w:spacing w:line="240" w:lineRule="auto"/>
        <w:ind w:firstLine="420" w:firstLineChars="200"/>
        <w:jc w:val="left"/>
        <w:textAlignment w:val="auto"/>
        <w:rPr>
          <w:rFonts w:hint="eastAsia" w:ascii="宋体" w:hAnsi="Times New Roman" w:eastAsia="宋体" w:cs="Times New Roman"/>
          <w:kern w:val="0"/>
          <w:sz w:val="21"/>
          <w:szCs w:val="20"/>
          <w:lang w:val="en-US" w:eastAsia="zh-CN" w:bidi="ar-SA"/>
        </w:rPr>
      </w:pPr>
      <w:r>
        <w:rPr>
          <w:rFonts w:hint="eastAsia" w:ascii="宋体" w:hAnsi="宋体" w:cs="宋体"/>
          <w:color w:val="000000" w:themeColor="text1"/>
          <w:kern w:val="0"/>
          <w:shd w:val="clear" w:color="auto" w:fill="FFFFFF"/>
          <w:lang w:val="en-US" w:eastAsia="zh-CN"/>
          <w14:textFill>
            <w14:solidFill>
              <w14:schemeClr w14:val="tx1"/>
            </w14:solidFill>
          </w14:textFill>
        </w:rPr>
        <w:t>DB3311/T 179 乡村春晚建设规范</w:t>
      </w:r>
      <w:r>
        <w:rPr>
          <w:rFonts w:hint="eastAsia" w:ascii="宋体" w:hAnsi="Times New Roman" w:eastAsia="宋体" w:cs="Times New Roman"/>
          <w:kern w:val="0"/>
          <w:sz w:val="21"/>
          <w:szCs w:val="20"/>
          <w:lang w:val="en-US" w:eastAsia="zh-CN" w:bidi="ar-SA"/>
        </w:rPr>
        <w:t xml:space="preserve"> </w:t>
      </w:r>
    </w:p>
    <w:p>
      <w:pPr>
        <w:pStyle w:val="106"/>
        <w:spacing w:before="312" w:after="312"/>
      </w:pPr>
      <w:bookmarkStart w:id="52" w:name="_Toc97191425"/>
      <w:bookmarkStart w:id="53" w:name="_Toc109662245"/>
      <w:bookmarkStart w:id="54" w:name="_Toc5620"/>
      <w:bookmarkStart w:id="55" w:name="_Toc109662226"/>
      <w:r>
        <w:rPr>
          <w:rFonts w:hint="eastAsia"/>
          <w:szCs w:val="21"/>
        </w:rPr>
        <w:t>术语和定义</w:t>
      </w:r>
      <w:bookmarkEnd w:id="52"/>
      <w:bookmarkEnd w:id="53"/>
      <w:bookmarkEnd w:id="54"/>
      <w:bookmarkEnd w:id="55"/>
      <w:bookmarkStart w:id="56" w:name="_Toc26986532"/>
      <w:bookmarkEnd w:id="56"/>
    </w:p>
    <w:p>
      <w:pPr>
        <w:widowControl/>
        <w:shd w:val="clear" w:color="auto" w:fill="FFFFFF"/>
        <w:snapToGrid w:val="0"/>
        <w:ind w:firstLine="420" w:firstLineChars="200"/>
        <w:rPr>
          <w:rFonts w:ascii="宋体" w:hAnsi="宋体" w:cs="宋体"/>
          <w:color w:val="000000" w:themeColor="text1"/>
          <w:kern w:val="0"/>
          <w:shd w:val="clear" w:color="auto" w:fill="FFFFFF"/>
          <w14:textFill>
            <w14:solidFill>
              <w14:schemeClr w14:val="tx1"/>
            </w14:solidFill>
          </w14:textFill>
        </w:rPr>
      </w:pPr>
      <w:r>
        <w:rPr>
          <w:rFonts w:hint="eastAsia" w:ascii="宋体" w:hAnsi="宋体" w:cs="宋体"/>
          <w:color w:val="000000" w:themeColor="text1"/>
          <w:kern w:val="0"/>
          <w:shd w:val="clear" w:color="auto" w:fill="FFFFFF"/>
          <w:lang w:val="en-US" w:eastAsia="zh-CN"/>
          <w14:textFill>
            <w14:solidFill>
              <w14:schemeClr w14:val="tx1"/>
            </w14:solidFill>
          </w14:textFill>
        </w:rPr>
        <w:t>DB3311/T 179界定的</w:t>
      </w:r>
      <w:r>
        <w:rPr>
          <w:rFonts w:hint="eastAsia" w:ascii="宋体" w:hAnsi="宋体" w:cs="宋体"/>
          <w:color w:val="000000" w:themeColor="text1"/>
          <w:kern w:val="0"/>
          <w:shd w:val="clear" w:color="auto" w:fill="FFFFFF"/>
          <w14:textFill>
            <w14:solidFill>
              <w14:schemeClr w14:val="tx1"/>
            </w14:solidFill>
          </w14:textFill>
        </w:rPr>
        <w:t>术语和定义适用于本文件。</w:t>
      </w:r>
    </w:p>
    <w:p>
      <w:pPr>
        <w:pStyle w:val="106"/>
        <w:spacing w:before="312" w:after="312"/>
        <w:rPr>
          <w:szCs w:val="21"/>
        </w:rPr>
      </w:pPr>
      <w:bookmarkStart w:id="57" w:name="_Toc5789"/>
      <w:r>
        <w:rPr>
          <w:rFonts w:hint="eastAsia"/>
          <w:szCs w:val="21"/>
        </w:rPr>
        <w:t>总体原则</w:t>
      </w:r>
      <w:bookmarkEnd w:id="57"/>
    </w:p>
    <w:p>
      <w:pPr>
        <w:pStyle w:val="107"/>
        <w:spacing w:before="156" w:after="156"/>
        <w:rPr>
          <w:rFonts w:hint="eastAsia" w:ascii="黑体" w:hAnsi="黑体" w:eastAsia="黑体" w:cs="黑体"/>
          <w:kern w:val="2"/>
        </w:rPr>
      </w:pPr>
      <w:bookmarkStart w:id="58" w:name="_Hlk83650456"/>
      <w:r>
        <w:rPr>
          <w:rFonts w:hint="eastAsia" w:hAnsi="黑体" w:cs="黑体"/>
          <w:kern w:val="2"/>
          <w:lang w:eastAsia="zh-CN"/>
        </w:rPr>
        <w:t>公平公正</w:t>
      </w:r>
    </w:p>
    <w:p>
      <w:pPr>
        <w:pStyle w:val="58"/>
        <w:rPr>
          <w:rFonts w:hint="eastAsia" w:ascii="宋体" w:hAnsi="宋体" w:eastAsia="宋体" w:cs="宋体"/>
          <w:sz w:val="21"/>
          <w:szCs w:val="21"/>
        </w:rPr>
      </w:pPr>
      <w:r>
        <w:rPr>
          <w:rFonts w:hint="eastAsia" w:hAnsi="宋体" w:cs="宋体"/>
          <w:color w:val="000000"/>
          <w:kern w:val="0"/>
          <w:sz w:val="21"/>
          <w:szCs w:val="21"/>
          <w:lang w:eastAsia="zh-CN"/>
        </w:rPr>
        <w:t>坚持客观公正，评价内容统一、过程透明、结果公开</w:t>
      </w:r>
      <w:r>
        <w:rPr>
          <w:rFonts w:hint="eastAsia" w:ascii="宋体" w:hAnsi="宋体" w:eastAsia="宋体" w:cs="宋体"/>
          <w:color w:val="000000"/>
          <w:kern w:val="0"/>
          <w:sz w:val="21"/>
          <w:szCs w:val="21"/>
        </w:rPr>
        <w:t>。</w:t>
      </w:r>
    </w:p>
    <w:p>
      <w:pPr>
        <w:pStyle w:val="107"/>
        <w:spacing w:before="156" w:after="156"/>
        <w:rPr>
          <w:rFonts w:hint="eastAsia"/>
          <w:lang w:eastAsia="zh-CN"/>
        </w:rPr>
      </w:pPr>
      <w:r>
        <w:rPr>
          <w:rFonts w:hint="eastAsia"/>
          <w:lang w:eastAsia="zh-CN"/>
        </w:rPr>
        <w:t>自愿参与</w:t>
      </w:r>
    </w:p>
    <w:p>
      <w:pPr>
        <w:pStyle w:val="107"/>
        <w:numPr>
          <w:ilvl w:val="2"/>
          <w:numId w:val="0"/>
        </w:numPr>
        <w:spacing w:before="156" w:after="156"/>
        <w:ind w:leftChars="0" w:firstLine="420" w:firstLineChars="200"/>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坚持自愿原则，根据县、市、区、村(社区)自身意愿参与评价。</w:t>
      </w:r>
    </w:p>
    <w:p>
      <w:pPr>
        <w:pStyle w:val="107"/>
        <w:spacing w:before="156" w:after="156"/>
        <w:rPr>
          <w:rFonts w:hint="eastAsia"/>
          <w:lang w:eastAsia="zh-CN"/>
        </w:rPr>
      </w:pPr>
      <w:r>
        <w:rPr>
          <w:rFonts w:hint="eastAsia"/>
          <w:lang w:eastAsia="zh-CN"/>
        </w:rPr>
        <w:t>集中评议</w:t>
      </w:r>
    </w:p>
    <w:p>
      <w:pPr>
        <w:pStyle w:val="58"/>
        <w:rPr>
          <w:rFonts w:hint="eastAsia" w:ascii="宋体" w:hAnsi="宋体" w:eastAsia="宋体" w:cs="宋体"/>
          <w:color w:val="000000"/>
          <w:kern w:val="0"/>
          <w:sz w:val="21"/>
          <w:szCs w:val="21"/>
          <w:lang w:val="en-US" w:eastAsia="zh-CN" w:bidi="ar-SA"/>
        </w:rPr>
      </w:pPr>
      <w:r>
        <w:rPr>
          <w:rFonts w:hint="eastAsia" w:hAnsi="宋体" w:cs="宋体"/>
          <w:color w:val="000000"/>
          <w:kern w:val="0"/>
          <w:sz w:val="21"/>
          <w:szCs w:val="21"/>
          <w:lang w:val="en-US" w:eastAsia="zh-CN" w:bidi="ar-SA"/>
        </w:rPr>
        <w:t>坚持民主评议，由评价组织对乡村春晚评价开展集中性地审议</w:t>
      </w:r>
      <w:r>
        <w:rPr>
          <w:rFonts w:hint="eastAsia" w:ascii="宋体" w:hAnsi="宋体" w:eastAsia="宋体" w:cs="宋体"/>
          <w:color w:val="000000"/>
          <w:kern w:val="0"/>
          <w:sz w:val="21"/>
          <w:szCs w:val="21"/>
          <w:lang w:val="en-US" w:eastAsia="zh-CN" w:bidi="ar-SA"/>
        </w:rPr>
        <w:t>。</w:t>
      </w:r>
    </w:p>
    <w:p>
      <w:pPr>
        <w:pStyle w:val="106"/>
        <w:spacing w:before="312" w:after="312"/>
        <w:rPr>
          <w:rFonts w:hint="eastAsia" w:ascii="黑体" w:hAnsi="Times New Roman" w:eastAsia="黑体" w:cs="Times New Roman"/>
          <w:sz w:val="21"/>
          <w:lang w:val="en-US" w:eastAsia="zh-CN" w:bidi="ar-SA"/>
        </w:rPr>
      </w:pPr>
      <w:r>
        <w:rPr>
          <w:rFonts w:hint="eastAsia"/>
          <w:color w:val="000000" w:themeColor="text1"/>
          <w:szCs w:val="21"/>
          <w:lang w:eastAsia="zh-CN"/>
          <w14:textFill>
            <w14:solidFill>
              <w14:schemeClr w14:val="tx1"/>
            </w14:solidFill>
          </w14:textFill>
        </w:rPr>
        <w:t>评</w:t>
      </w:r>
      <w:r>
        <w:rPr>
          <w:rFonts w:hint="eastAsia" w:ascii="黑体" w:hAnsi="Times New Roman" w:eastAsia="黑体" w:cs="Times New Roman"/>
          <w:sz w:val="21"/>
          <w:lang w:val="en-US" w:eastAsia="zh-CN" w:bidi="ar-SA"/>
        </w:rPr>
        <w:t>价指标</w:t>
      </w:r>
    </w:p>
    <w:p>
      <w:pPr>
        <w:pStyle w:val="107"/>
        <w:spacing w:before="156" w:after="156"/>
        <w:rPr>
          <w:rFonts w:hint="eastAsia"/>
          <w:lang w:val="en-US" w:eastAsia="zh-CN"/>
        </w:rPr>
      </w:pPr>
      <w:r>
        <w:rPr>
          <w:rFonts w:hint="eastAsia"/>
          <w:lang w:val="en-US" w:eastAsia="zh-CN"/>
        </w:rPr>
        <w:t>指标设置</w:t>
      </w:r>
    </w:p>
    <w:p>
      <w:pPr>
        <w:pStyle w:val="107"/>
        <w:numPr>
          <w:ilvl w:val="2"/>
          <w:numId w:val="0"/>
        </w:numPr>
        <w:spacing w:before="156" w:after="156"/>
        <w:ind w:leftChars="0"/>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 xml:space="preserve">5.1.1 </w:t>
      </w:r>
      <w:r>
        <w:rPr>
          <w:rFonts w:hint="eastAsia" w:ascii="宋体" w:hAnsi="宋体" w:eastAsia="宋体" w:cs="宋体"/>
          <w:color w:val="000000"/>
          <w:kern w:val="0"/>
          <w:sz w:val="21"/>
          <w:szCs w:val="21"/>
          <w:lang w:val="en-US" w:eastAsia="zh-CN" w:bidi="ar-SA"/>
        </w:rPr>
        <w:t>评价指标设置宜科学合理，各指标之间有机配合，便于理解、采集和使用，避免重复和矛盾。</w:t>
      </w:r>
    </w:p>
    <w:p>
      <w:pPr>
        <w:pStyle w:val="107"/>
        <w:numPr>
          <w:ilvl w:val="2"/>
          <w:numId w:val="0"/>
        </w:numPr>
        <w:spacing w:before="156" w:after="156"/>
        <w:ind w:leftChars="0"/>
        <w:rPr>
          <w:rFonts w:hint="default"/>
          <w:lang w:val="en-US" w:eastAsia="zh-CN"/>
        </w:rPr>
      </w:pPr>
      <w:r>
        <w:rPr>
          <w:rFonts w:hint="eastAsia" w:ascii="黑体" w:hAnsi="黑体" w:eastAsia="黑体" w:cs="黑体"/>
          <w:color w:val="000000"/>
          <w:kern w:val="0"/>
          <w:sz w:val="21"/>
          <w:szCs w:val="21"/>
          <w:lang w:val="en-US" w:eastAsia="zh-CN" w:bidi="ar-SA"/>
        </w:rPr>
        <w:t xml:space="preserve">5.1.2 </w:t>
      </w:r>
      <w:r>
        <w:rPr>
          <w:rFonts w:hint="eastAsia" w:ascii="宋体" w:hAnsi="宋体" w:eastAsia="宋体" w:cs="宋体"/>
          <w:lang w:eastAsia="zh-CN"/>
        </w:rPr>
        <w:t>宜从组织机制、春晚演艺、</w:t>
      </w:r>
      <w:r>
        <w:rPr>
          <w:rFonts w:hint="eastAsia" w:ascii="宋体" w:hAnsi="宋体" w:eastAsia="宋体" w:cs="宋体"/>
          <w:color w:val="000000"/>
          <w:kern w:val="0"/>
          <w:sz w:val="21"/>
          <w:szCs w:val="21"/>
          <w:lang w:val="en-US" w:eastAsia="zh-CN" w:bidi="ar-SA"/>
        </w:rPr>
        <w:t>品牌管理等方面设置一级指标，从组织主体、机制建设、 主题内容、节目类型、演艺人员、演艺设备、品牌宣传、品牌特色等</w:t>
      </w:r>
      <w:r>
        <w:rPr>
          <w:rFonts w:hint="eastAsia" w:ascii="宋体" w:hAnsi="宋体" w:eastAsia="宋体" w:cs="宋体"/>
          <w:lang w:eastAsia="zh-CN"/>
        </w:rPr>
        <w:t>方面设置二级指标。</w:t>
      </w:r>
    </w:p>
    <w:p>
      <w:pPr>
        <w:pStyle w:val="107"/>
        <w:spacing w:before="156" w:after="156"/>
        <w:rPr>
          <w:rFonts w:hint="eastAsia"/>
          <w:lang w:val="en-US" w:eastAsia="zh-CN"/>
        </w:rPr>
      </w:pPr>
      <w:r>
        <w:rPr>
          <w:rFonts w:hint="eastAsia"/>
          <w:lang w:val="en-US" w:eastAsia="zh-CN"/>
        </w:rPr>
        <w:t>组织主体</w:t>
      </w:r>
    </w:p>
    <w:p>
      <w:pPr>
        <w:pStyle w:val="58"/>
        <w:ind w:left="0" w:leftChars="0" w:firstLine="0" w:firstLineChars="0"/>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 xml:space="preserve">5.2.1 </w:t>
      </w:r>
      <w:r>
        <w:rPr>
          <w:rFonts w:hint="eastAsia" w:hAnsi="宋体" w:cs="宋体"/>
          <w:color w:val="000000"/>
          <w:kern w:val="0"/>
          <w:sz w:val="21"/>
          <w:szCs w:val="21"/>
          <w:lang w:val="en-US" w:eastAsia="zh-CN" w:bidi="ar-SA"/>
        </w:rPr>
        <w:t>宜考虑村两委将乡村春晚列入村委年度工作计划及组</w:t>
      </w:r>
      <w:r>
        <w:rPr>
          <w:rFonts w:hint="eastAsia" w:ascii="宋体" w:hAnsi="宋体" w:eastAsia="宋体" w:cs="宋体"/>
          <w:color w:val="000000"/>
          <w:kern w:val="0"/>
          <w:sz w:val="21"/>
          <w:szCs w:val="21"/>
          <w:lang w:val="en-US" w:eastAsia="zh-CN" w:bidi="ar-SA"/>
        </w:rPr>
        <w:t>织协调乡村春晚活动</w:t>
      </w:r>
      <w:r>
        <w:rPr>
          <w:rFonts w:hint="eastAsia" w:hAnsi="宋体" w:cs="宋体"/>
          <w:color w:val="000000"/>
          <w:kern w:val="0"/>
          <w:sz w:val="21"/>
          <w:szCs w:val="21"/>
          <w:lang w:val="en-US" w:eastAsia="zh-CN" w:bidi="ar-SA"/>
        </w:rPr>
        <w:t>事务的情况</w:t>
      </w:r>
      <w:r>
        <w:rPr>
          <w:rFonts w:hint="eastAsia" w:ascii="宋体" w:hAnsi="宋体" w:eastAsia="宋体" w:cs="宋体"/>
          <w:color w:val="000000"/>
          <w:kern w:val="0"/>
          <w:sz w:val="21"/>
          <w:szCs w:val="21"/>
          <w:lang w:val="en-US" w:eastAsia="zh-CN" w:bidi="ar-SA"/>
        </w:rPr>
        <w:t>。</w:t>
      </w:r>
    </w:p>
    <w:p>
      <w:pPr>
        <w:pStyle w:val="58"/>
        <w:ind w:left="0" w:leftChars="0" w:firstLine="0" w:firstLineChars="0"/>
        <w:rPr>
          <w:rFonts w:hint="eastAsia" w:hAnsi="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 xml:space="preserve">5.2.2 </w:t>
      </w:r>
      <w:r>
        <w:rPr>
          <w:rFonts w:hint="eastAsia" w:hAnsi="宋体" w:cs="宋体"/>
          <w:color w:val="000000"/>
          <w:kern w:val="0"/>
          <w:sz w:val="21"/>
          <w:szCs w:val="21"/>
          <w:lang w:val="en-US" w:eastAsia="zh-CN" w:bidi="ar-SA"/>
        </w:rPr>
        <w:t>宜考虑召集本村文化能人、文化热心人、文艺骨干等组成村级乡村文化理事会事宜。</w:t>
      </w:r>
    </w:p>
    <w:p>
      <w:pPr>
        <w:pStyle w:val="107"/>
        <w:spacing w:before="156" w:after="156"/>
        <w:rPr>
          <w:rFonts w:hint="eastAsia" w:hAnsi="宋体" w:cs="宋体"/>
          <w:color w:val="000000"/>
          <w:kern w:val="0"/>
          <w:sz w:val="21"/>
          <w:szCs w:val="21"/>
          <w:lang w:val="en-US" w:eastAsia="zh-CN" w:bidi="ar-SA"/>
        </w:rPr>
      </w:pPr>
      <w:r>
        <w:rPr>
          <w:rFonts w:hint="eastAsia" w:hAnsi="宋体" w:cs="宋体"/>
          <w:color w:val="000000"/>
          <w:kern w:val="0"/>
          <w:sz w:val="21"/>
          <w:szCs w:val="21"/>
          <w:lang w:val="en-US" w:eastAsia="zh-CN" w:bidi="ar-SA"/>
        </w:rPr>
        <w:t>机制建设</w:t>
      </w:r>
    </w:p>
    <w:p>
      <w:pPr>
        <w:pStyle w:val="58"/>
        <w:keepNext w:val="0"/>
        <w:keepLines w:val="0"/>
        <w:pageBreakBefore w:val="0"/>
        <w:widowControl/>
        <w:kinsoku/>
        <w:wordWrap/>
        <w:overflowPunct/>
        <w:topLinePunct w:val="0"/>
        <w:autoSpaceDE w:val="0"/>
        <w:autoSpaceDN w:val="0"/>
        <w:bidi w:val="0"/>
        <w:adjustRightInd/>
        <w:snapToGrid/>
        <w:spacing w:before="157" w:beforeLines="50" w:after="157" w:afterLines="50"/>
        <w:ind w:left="0" w:leftChars="0" w:firstLine="0" w:firstLineChars="0"/>
        <w:textAlignment w:val="auto"/>
        <w:rPr>
          <w:rFonts w:hint="eastAsia" w:hAnsi="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 xml:space="preserve">5.3.1 </w:t>
      </w:r>
      <w:r>
        <w:rPr>
          <w:rFonts w:hint="eastAsia" w:hAnsi="宋体" w:cs="宋体"/>
          <w:color w:val="000000"/>
          <w:kern w:val="0"/>
          <w:sz w:val="21"/>
          <w:szCs w:val="21"/>
          <w:lang w:val="en-US" w:eastAsia="zh-CN" w:bidi="ar-SA"/>
        </w:rPr>
        <w:t>宜建立规范、完备的管理机制，内容可包含管理手册、管理程序、管理记录。</w:t>
      </w:r>
    </w:p>
    <w:p>
      <w:pPr>
        <w:pStyle w:val="58"/>
        <w:keepNext w:val="0"/>
        <w:keepLines w:val="0"/>
        <w:pageBreakBefore w:val="0"/>
        <w:widowControl/>
        <w:kinsoku/>
        <w:wordWrap/>
        <w:overflowPunct/>
        <w:topLinePunct w:val="0"/>
        <w:autoSpaceDE w:val="0"/>
        <w:autoSpaceDN w:val="0"/>
        <w:bidi w:val="0"/>
        <w:adjustRightInd/>
        <w:snapToGrid/>
        <w:spacing w:before="157" w:beforeLines="50" w:after="157" w:afterLines="50"/>
        <w:ind w:left="0" w:leftChars="0" w:firstLine="0" w:firstLineChars="0"/>
        <w:textAlignment w:val="auto"/>
        <w:rPr>
          <w:rFonts w:hint="eastAsia" w:hAnsi="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 xml:space="preserve">5.3.2 </w:t>
      </w:r>
      <w:r>
        <w:rPr>
          <w:rFonts w:hint="eastAsia" w:ascii="宋体" w:hAnsi="宋体" w:eastAsia="宋体" w:cs="宋体"/>
          <w:color w:val="000000"/>
          <w:kern w:val="0"/>
          <w:sz w:val="21"/>
          <w:szCs w:val="21"/>
          <w:lang w:val="en-US" w:eastAsia="zh-CN" w:bidi="ar-SA"/>
        </w:rPr>
        <w:t>宜</w:t>
      </w:r>
      <w:r>
        <w:rPr>
          <w:rFonts w:hint="eastAsia" w:hAnsi="宋体" w:cs="宋体"/>
          <w:color w:val="000000"/>
          <w:kern w:val="0"/>
          <w:sz w:val="21"/>
          <w:szCs w:val="21"/>
          <w:lang w:val="en-US" w:eastAsia="zh-CN" w:bidi="ar-SA"/>
        </w:rPr>
        <w:t>建立</w:t>
      </w:r>
      <w:r>
        <w:rPr>
          <w:rFonts w:hint="eastAsia" w:ascii="宋体" w:hAnsi="宋体" w:eastAsia="宋体" w:cs="宋体"/>
          <w:color w:val="000000"/>
          <w:kern w:val="0"/>
          <w:sz w:val="21"/>
          <w:szCs w:val="21"/>
          <w:lang w:val="en-US" w:eastAsia="zh-CN" w:bidi="ar-SA"/>
        </w:rPr>
        <w:t>应急处置</w:t>
      </w:r>
      <w:r>
        <w:rPr>
          <w:rFonts w:hint="eastAsia" w:hAnsi="宋体" w:cs="宋体"/>
          <w:color w:val="000000"/>
          <w:kern w:val="0"/>
          <w:sz w:val="21"/>
          <w:szCs w:val="21"/>
          <w:lang w:val="en-US" w:eastAsia="zh-CN" w:bidi="ar-SA"/>
        </w:rPr>
        <w:t>、</w:t>
      </w:r>
      <w:r>
        <w:rPr>
          <w:rFonts w:hint="eastAsia" w:ascii="宋体" w:hAnsi="宋体" w:eastAsia="宋体" w:cs="宋体"/>
          <w:color w:val="000000"/>
          <w:kern w:val="0"/>
          <w:sz w:val="21"/>
          <w:szCs w:val="21"/>
          <w:lang w:val="en-US" w:eastAsia="zh-CN" w:bidi="ar-SA"/>
        </w:rPr>
        <w:t>安全保障</w:t>
      </w:r>
      <w:r>
        <w:rPr>
          <w:rFonts w:hint="eastAsia" w:hAnsi="宋体" w:cs="宋体"/>
          <w:color w:val="000000"/>
          <w:kern w:val="0"/>
          <w:sz w:val="21"/>
          <w:szCs w:val="21"/>
          <w:lang w:val="en-US" w:eastAsia="zh-CN" w:bidi="ar-SA"/>
        </w:rPr>
        <w:t>机制，组织应急演练，配备安全人员</w:t>
      </w:r>
      <w:r>
        <w:rPr>
          <w:rFonts w:hint="eastAsia" w:ascii="宋体" w:hAnsi="宋体" w:eastAsia="宋体" w:cs="宋体"/>
          <w:color w:val="000000"/>
          <w:kern w:val="0"/>
          <w:sz w:val="21"/>
          <w:szCs w:val="21"/>
          <w:lang w:val="en-US" w:eastAsia="zh-CN" w:bidi="ar-SA"/>
        </w:rPr>
        <w:t>。</w:t>
      </w:r>
    </w:p>
    <w:p>
      <w:pPr>
        <w:pStyle w:val="107"/>
        <w:spacing w:before="156" w:after="156"/>
        <w:rPr>
          <w:rFonts w:hint="default" w:hAnsi="宋体" w:cs="宋体"/>
          <w:color w:val="000000"/>
          <w:kern w:val="0"/>
          <w:sz w:val="21"/>
          <w:szCs w:val="21"/>
          <w:lang w:val="en-US" w:eastAsia="zh-CN" w:bidi="ar-SA"/>
        </w:rPr>
      </w:pPr>
      <w:r>
        <w:rPr>
          <w:rFonts w:hint="eastAsia" w:hAnsi="宋体" w:cs="宋体"/>
          <w:color w:val="000000"/>
          <w:kern w:val="0"/>
          <w:sz w:val="21"/>
          <w:szCs w:val="21"/>
          <w:lang w:val="en-US" w:eastAsia="zh-CN" w:bidi="ar-SA"/>
        </w:rPr>
        <w:t>主题内容</w:t>
      </w:r>
    </w:p>
    <w:p>
      <w:pPr>
        <w:pStyle w:val="107"/>
        <w:numPr>
          <w:ilvl w:val="2"/>
          <w:numId w:val="0"/>
        </w:numPr>
        <w:spacing w:before="156" w:after="156"/>
        <w:ind w:leftChars="0"/>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 xml:space="preserve">5.3.1 </w:t>
      </w:r>
      <w:r>
        <w:rPr>
          <w:rFonts w:hint="eastAsia" w:ascii="宋体" w:hAnsi="宋体" w:eastAsia="宋体" w:cs="宋体"/>
          <w:color w:val="000000"/>
          <w:kern w:val="0"/>
          <w:sz w:val="21"/>
          <w:szCs w:val="21"/>
          <w:lang w:val="en-US" w:eastAsia="zh-CN" w:bidi="ar-SA"/>
        </w:rPr>
        <w:t>宜考虑是否主题鲜明、立意新颖，表达形式是否恰当。</w:t>
      </w:r>
    </w:p>
    <w:p>
      <w:pPr>
        <w:pStyle w:val="107"/>
        <w:numPr>
          <w:ilvl w:val="2"/>
          <w:numId w:val="0"/>
        </w:numPr>
        <w:spacing w:before="156" w:after="156"/>
        <w:ind w:leftChars="0"/>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 xml:space="preserve">5.3.2 </w:t>
      </w:r>
      <w:r>
        <w:rPr>
          <w:rFonts w:hint="eastAsia" w:ascii="宋体" w:hAnsi="宋体" w:eastAsia="宋体" w:cs="宋体"/>
          <w:color w:val="000000"/>
          <w:kern w:val="0"/>
          <w:sz w:val="21"/>
          <w:szCs w:val="21"/>
          <w:lang w:val="en-US" w:eastAsia="zh-CN" w:bidi="ar-SA"/>
        </w:rPr>
        <w:t>宜考虑是否内容健康、积极向上，展示新时代精神风貌。</w:t>
      </w:r>
    </w:p>
    <w:p>
      <w:pPr>
        <w:pStyle w:val="107"/>
        <w:spacing w:before="156" w:after="156"/>
        <w:rPr>
          <w:rFonts w:hint="eastAsia"/>
          <w:lang w:val="en-US" w:eastAsia="zh-CN"/>
        </w:rPr>
      </w:pPr>
      <w:r>
        <w:rPr>
          <w:rFonts w:hint="eastAsia"/>
          <w:lang w:val="en-US" w:eastAsia="zh-CN"/>
        </w:rPr>
        <w:t>节目类型</w:t>
      </w:r>
    </w:p>
    <w:p>
      <w:pPr>
        <w:pStyle w:val="107"/>
        <w:numPr>
          <w:ilvl w:val="2"/>
          <w:numId w:val="0"/>
        </w:numPr>
        <w:spacing w:before="156" w:after="156"/>
        <w:ind w:leftChars="0"/>
        <w:rPr>
          <w:rFonts w:hint="eastAsia" w:ascii="黑体" w:hAnsi="黑体" w:eastAsia="黑体" w:cs="黑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 xml:space="preserve">5.4.1 </w:t>
      </w:r>
      <w:r>
        <w:rPr>
          <w:rFonts w:hint="eastAsia" w:ascii="宋体" w:hAnsi="宋体" w:eastAsia="宋体" w:cs="宋体"/>
          <w:color w:val="000000"/>
          <w:kern w:val="0"/>
          <w:sz w:val="21"/>
          <w:szCs w:val="21"/>
          <w:lang w:val="en-US" w:eastAsia="zh-CN" w:bidi="ar-SA"/>
        </w:rPr>
        <w:t>宜考虑挖掘当地历史、人文资源及传承历史文化遗产的情况。</w:t>
      </w:r>
    </w:p>
    <w:p>
      <w:pPr>
        <w:pStyle w:val="107"/>
        <w:numPr>
          <w:ilvl w:val="2"/>
          <w:numId w:val="0"/>
        </w:numPr>
        <w:spacing w:before="156" w:after="156"/>
        <w:ind w:leftChars="0"/>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 xml:space="preserve">5.4.2 </w:t>
      </w:r>
      <w:r>
        <w:rPr>
          <w:rFonts w:hint="eastAsia" w:ascii="宋体" w:hAnsi="宋体" w:eastAsia="宋体" w:cs="宋体"/>
          <w:color w:val="000000"/>
          <w:kern w:val="0"/>
          <w:sz w:val="21"/>
          <w:szCs w:val="21"/>
          <w:lang w:val="en-US" w:eastAsia="zh-CN" w:bidi="ar-SA"/>
        </w:rPr>
        <w:t>宜考虑节目创作、设计是否由村民自编、自导、自演为主的情况。</w:t>
      </w:r>
    </w:p>
    <w:p>
      <w:pPr>
        <w:pStyle w:val="107"/>
        <w:numPr>
          <w:ilvl w:val="2"/>
          <w:numId w:val="0"/>
        </w:numPr>
        <w:spacing w:before="156" w:after="156"/>
        <w:ind w:leftChars="0"/>
        <w:rPr>
          <w:rFonts w:hint="eastAsia"/>
          <w:lang w:val="en-US" w:eastAsia="zh-CN"/>
        </w:rPr>
      </w:pPr>
      <w:r>
        <w:rPr>
          <w:rFonts w:hint="eastAsia" w:ascii="黑体" w:hAnsi="黑体" w:eastAsia="黑体" w:cs="黑体"/>
          <w:color w:val="000000"/>
          <w:kern w:val="0"/>
          <w:sz w:val="21"/>
          <w:szCs w:val="21"/>
          <w:lang w:val="en-US" w:eastAsia="zh-CN" w:bidi="ar-SA"/>
        </w:rPr>
        <w:t>5.4.</w:t>
      </w:r>
      <w:r>
        <w:rPr>
          <w:rFonts w:hint="eastAsia" w:hAnsi="黑体" w:cs="黑体"/>
          <w:color w:val="000000"/>
          <w:kern w:val="0"/>
          <w:sz w:val="21"/>
          <w:szCs w:val="21"/>
          <w:lang w:val="en-US" w:eastAsia="zh-CN" w:bidi="ar-SA"/>
        </w:rPr>
        <w:t>3</w:t>
      </w:r>
      <w:r>
        <w:rPr>
          <w:rFonts w:hint="eastAsia" w:ascii="黑体" w:hAnsi="黑体" w:eastAsia="黑体" w:cs="黑体"/>
          <w:color w:val="000000"/>
          <w:kern w:val="0"/>
          <w:sz w:val="21"/>
          <w:szCs w:val="21"/>
          <w:lang w:val="en-US" w:eastAsia="zh-CN" w:bidi="ar-SA"/>
        </w:rPr>
        <w:t xml:space="preserve"> </w:t>
      </w:r>
      <w:r>
        <w:rPr>
          <w:rFonts w:hint="eastAsia" w:ascii="宋体" w:hAnsi="宋体" w:eastAsia="宋体" w:cs="宋体"/>
          <w:color w:val="000000"/>
          <w:kern w:val="0"/>
          <w:sz w:val="21"/>
          <w:szCs w:val="21"/>
          <w:lang w:val="en-US" w:eastAsia="zh-CN" w:bidi="ar-SA"/>
        </w:rPr>
        <w:t>宜考虑节目类型和表演服装、造型、道具的协调匹配情况。</w:t>
      </w:r>
    </w:p>
    <w:p>
      <w:pPr>
        <w:pStyle w:val="107"/>
        <w:numPr>
          <w:ilvl w:val="2"/>
          <w:numId w:val="0"/>
        </w:numPr>
        <w:spacing w:before="156" w:after="156"/>
        <w:ind w:leftChars="0"/>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5.4.</w:t>
      </w:r>
      <w:r>
        <w:rPr>
          <w:rFonts w:hint="eastAsia" w:hAnsi="黑体" w:cs="黑体"/>
          <w:color w:val="000000"/>
          <w:kern w:val="0"/>
          <w:sz w:val="21"/>
          <w:szCs w:val="21"/>
          <w:lang w:val="en-US" w:eastAsia="zh-CN" w:bidi="ar-SA"/>
        </w:rPr>
        <w:t>4</w:t>
      </w:r>
      <w:r>
        <w:rPr>
          <w:rFonts w:hint="eastAsia" w:ascii="黑体" w:hAnsi="黑体" w:eastAsia="黑体" w:cs="黑体"/>
          <w:color w:val="000000"/>
          <w:kern w:val="0"/>
          <w:sz w:val="21"/>
          <w:szCs w:val="21"/>
          <w:lang w:val="en-US" w:eastAsia="zh-CN" w:bidi="ar-SA"/>
        </w:rPr>
        <w:t xml:space="preserve"> </w:t>
      </w:r>
      <w:r>
        <w:rPr>
          <w:rFonts w:hint="eastAsia" w:ascii="宋体" w:hAnsi="宋体" w:eastAsia="宋体" w:cs="宋体"/>
          <w:color w:val="000000"/>
          <w:kern w:val="0"/>
          <w:sz w:val="21"/>
          <w:szCs w:val="21"/>
          <w:lang w:val="en-US" w:eastAsia="zh-CN" w:bidi="ar-SA"/>
        </w:rPr>
        <w:t>宜考虑多样节目类型的演艺技巧，包括但不限于以下内容：</w:t>
      </w:r>
    </w:p>
    <w:p>
      <w:pPr>
        <w:pStyle w:val="58"/>
        <w:keepNext w:val="0"/>
        <w:keepLines w:val="0"/>
        <w:pageBreakBefore w:val="0"/>
        <w:widowControl/>
        <w:kinsoku/>
        <w:wordWrap/>
        <w:overflowPunct/>
        <w:topLinePunct w:val="0"/>
        <w:autoSpaceDE w:val="0"/>
        <w:autoSpaceDN w:val="0"/>
        <w:bidi w:val="0"/>
        <w:adjustRightInd/>
        <w:snapToGrid/>
        <w:textAlignment w:val="auto"/>
        <w:rPr>
          <w:rFonts w:hint="eastAsia" w:hAnsi="宋体" w:cs="宋体"/>
          <w:color w:val="000000"/>
          <w:kern w:val="0"/>
          <w:sz w:val="21"/>
          <w:szCs w:val="21"/>
          <w:lang w:val="en-US" w:eastAsia="zh-CN" w:bidi="ar-SA"/>
        </w:rPr>
      </w:pPr>
      <w:r>
        <w:rPr>
          <w:rFonts w:hint="eastAsia" w:hAnsi="宋体" w:cs="宋体"/>
          <w:color w:val="000000"/>
          <w:kern w:val="0"/>
          <w:sz w:val="21"/>
          <w:szCs w:val="21"/>
          <w:lang w:val="en-US" w:eastAsia="zh-CN" w:bidi="ar-SA"/>
        </w:rPr>
        <w:t>a)演唱类包含声调准确、节奏恰当、声音优美；</w:t>
      </w:r>
    </w:p>
    <w:p>
      <w:pPr>
        <w:pStyle w:val="58"/>
        <w:keepNext w:val="0"/>
        <w:keepLines w:val="0"/>
        <w:pageBreakBefore w:val="0"/>
        <w:widowControl/>
        <w:kinsoku/>
        <w:wordWrap/>
        <w:overflowPunct/>
        <w:topLinePunct w:val="0"/>
        <w:autoSpaceDE w:val="0"/>
        <w:autoSpaceDN w:val="0"/>
        <w:bidi w:val="0"/>
        <w:adjustRightInd/>
        <w:snapToGrid/>
        <w:textAlignment w:val="auto"/>
        <w:rPr>
          <w:rFonts w:hint="eastAsia" w:hAnsi="宋体" w:cs="宋体"/>
          <w:color w:val="000000"/>
          <w:kern w:val="0"/>
          <w:sz w:val="21"/>
          <w:szCs w:val="21"/>
          <w:lang w:val="en-US" w:eastAsia="zh-CN" w:bidi="ar-SA"/>
        </w:rPr>
      </w:pPr>
      <w:r>
        <w:rPr>
          <w:rFonts w:hint="eastAsia" w:hAnsi="宋体" w:cs="宋体"/>
          <w:color w:val="000000"/>
          <w:kern w:val="0"/>
          <w:sz w:val="21"/>
          <w:szCs w:val="21"/>
          <w:lang w:val="en-US" w:eastAsia="zh-CN" w:bidi="ar-SA"/>
        </w:rPr>
        <w:t>b)舞蹈类包含运作到位、表情丰富、与表演题材相协调；</w:t>
      </w:r>
    </w:p>
    <w:p>
      <w:pPr>
        <w:pStyle w:val="58"/>
        <w:keepNext w:val="0"/>
        <w:keepLines w:val="0"/>
        <w:pageBreakBefore w:val="0"/>
        <w:widowControl/>
        <w:kinsoku/>
        <w:wordWrap/>
        <w:overflowPunct/>
        <w:topLinePunct w:val="0"/>
        <w:autoSpaceDE w:val="0"/>
        <w:autoSpaceDN w:val="0"/>
        <w:bidi w:val="0"/>
        <w:adjustRightInd/>
        <w:snapToGrid/>
        <w:textAlignment w:val="auto"/>
        <w:rPr>
          <w:rFonts w:hint="eastAsia" w:hAnsi="宋体" w:cs="宋体"/>
          <w:color w:val="000000"/>
          <w:kern w:val="0"/>
          <w:sz w:val="21"/>
          <w:szCs w:val="21"/>
          <w:lang w:val="en-US" w:eastAsia="zh-CN" w:bidi="ar-SA"/>
        </w:rPr>
      </w:pPr>
      <w:r>
        <w:rPr>
          <w:rFonts w:hint="eastAsia" w:hAnsi="宋体" w:cs="宋体"/>
          <w:color w:val="000000"/>
          <w:kern w:val="0"/>
          <w:sz w:val="21"/>
          <w:szCs w:val="21"/>
          <w:lang w:val="en-US" w:eastAsia="zh-CN" w:bidi="ar-SA"/>
        </w:rPr>
        <w:t>c)曲艺小品类包含语言诙谐幽默、通俗易懂，动作配合默契；</w:t>
      </w:r>
    </w:p>
    <w:p>
      <w:pPr>
        <w:pStyle w:val="58"/>
        <w:keepNext w:val="0"/>
        <w:keepLines w:val="0"/>
        <w:pageBreakBefore w:val="0"/>
        <w:widowControl/>
        <w:kinsoku/>
        <w:wordWrap/>
        <w:overflowPunct/>
        <w:topLinePunct w:val="0"/>
        <w:autoSpaceDE w:val="0"/>
        <w:autoSpaceDN w:val="0"/>
        <w:bidi w:val="0"/>
        <w:adjustRightInd/>
        <w:snapToGrid/>
        <w:textAlignment w:val="auto"/>
        <w:rPr>
          <w:rFonts w:hint="eastAsia" w:hAnsi="宋体" w:eastAsia="宋体" w:cs="宋体"/>
          <w:color w:val="000000"/>
          <w:kern w:val="0"/>
          <w:sz w:val="21"/>
          <w:szCs w:val="21"/>
          <w:lang w:val="en-US" w:eastAsia="zh-CN" w:bidi="ar-SA"/>
        </w:rPr>
      </w:pPr>
      <w:r>
        <w:rPr>
          <w:rFonts w:hint="eastAsia" w:hAnsi="宋体" w:cs="宋体"/>
          <w:color w:val="000000"/>
          <w:kern w:val="0"/>
          <w:sz w:val="21"/>
          <w:szCs w:val="21"/>
          <w:lang w:val="en-US" w:eastAsia="zh-CN" w:bidi="ar-SA"/>
        </w:rPr>
        <w:t>d)乐器演奏类包含演奏技法熟练、对作品的理解和诠释；</w:t>
      </w:r>
    </w:p>
    <w:p>
      <w:pPr>
        <w:pStyle w:val="58"/>
        <w:keepNext w:val="0"/>
        <w:keepLines w:val="0"/>
        <w:pageBreakBefore w:val="0"/>
        <w:widowControl/>
        <w:kinsoku/>
        <w:wordWrap/>
        <w:overflowPunct/>
        <w:topLinePunct w:val="0"/>
        <w:autoSpaceDE w:val="0"/>
        <w:autoSpaceDN w:val="0"/>
        <w:bidi w:val="0"/>
        <w:adjustRightInd/>
        <w:snapToGrid/>
        <w:textAlignment w:val="auto"/>
        <w:rPr>
          <w:rFonts w:hint="eastAsia" w:hAnsi="宋体" w:cs="宋体"/>
          <w:color w:val="000000"/>
          <w:kern w:val="0"/>
          <w:sz w:val="21"/>
          <w:szCs w:val="21"/>
          <w:lang w:val="en-US" w:eastAsia="zh-CN" w:bidi="ar-SA"/>
        </w:rPr>
      </w:pPr>
      <w:r>
        <w:rPr>
          <w:rFonts w:hint="eastAsia" w:hAnsi="宋体" w:cs="宋体"/>
          <w:color w:val="000000"/>
          <w:kern w:val="0"/>
          <w:sz w:val="21"/>
          <w:szCs w:val="21"/>
          <w:lang w:val="en-US" w:eastAsia="zh-CN" w:bidi="ar-SA"/>
        </w:rPr>
        <w:t>e)诗歌朗诵类类包含吐字清晰、语言流畅、声情并茂。</w:t>
      </w:r>
    </w:p>
    <w:p>
      <w:pPr>
        <w:pStyle w:val="107"/>
        <w:spacing w:before="156" w:after="156"/>
        <w:rPr>
          <w:rFonts w:hint="eastAsia"/>
          <w:lang w:val="en-US" w:eastAsia="zh-CN"/>
        </w:rPr>
      </w:pPr>
      <w:r>
        <w:rPr>
          <w:rFonts w:hint="eastAsia" w:hAnsi="宋体" w:cs="宋体"/>
          <w:color w:val="000000"/>
          <w:kern w:val="0"/>
          <w:sz w:val="21"/>
          <w:szCs w:val="21"/>
          <w:lang w:val="en-US" w:eastAsia="zh-CN" w:bidi="ar-SA"/>
        </w:rPr>
        <w:t>演艺人员</w:t>
      </w:r>
    </w:p>
    <w:p>
      <w:pPr>
        <w:pStyle w:val="107"/>
        <w:numPr>
          <w:ilvl w:val="2"/>
          <w:numId w:val="0"/>
        </w:numPr>
        <w:spacing w:before="156" w:after="156"/>
        <w:ind w:leftChars="0"/>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5.</w:t>
      </w:r>
      <w:r>
        <w:rPr>
          <w:rFonts w:hint="eastAsia" w:hAnsi="黑体" w:cs="黑体"/>
          <w:color w:val="000000"/>
          <w:kern w:val="0"/>
          <w:sz w:val="21"/>
          <w:szCs w:val="21"/>
          <w:lang w:val="en-US" w:eastAsia="zh-CN" w:bidi="ar-SA"/>
        </w:rPr>
        <w:t>5</w:t>
      </w:r>
      <w:r>
        <w:rPr>
          <w:rFonts w:hint="eastAsia" w:ascii="黑体" w:hAnsi="黑体" w:eastAsia="黑体" w:cs="黑体"/>
          <w:color w:val="000000"/>
          <w:kern w:val="0"/>
          <w:sz w:val="21"/>
          <w:szCs w:val="21"/>
          <w:lang w:val="en-US" w:eastAsia="zh-CN" w:bidi="ar-SA"/>
        </w:rPr>
        <w:t>.</w:t>
      </w:r>
      <w:r>
        <w:rPr>
          <w:rFonts w:hint="eastAsia" w:hAnsi="黑体" w:cs="黑体"/>
          <w:color w:val="000000"/>
          <w:kern w:val="0"/>
          <w:sz w:val="21"/>
          <w:szCs w:val="21"/>
          <w:lang w:val="en-US" w:eastAsia="zh-CN" w:bidi="ar-SA"/>
        </w:rPr>
        <w:t>1</w:t>
      </w:r>
      <w:r>
        <w:rPr>
          <w:rFonts w:hint="eastAsia" w:ascii="黑体" w:hAnsi="黑体" w:eastAsia="黑体" w:cs="黑体"/>
          <w:color w:val="000000"/>
          <w:kern w:val="0"/>
          <w:sz w:val="21"/>
          <w:szCs w:val="21"/>
          <w:lang w:val="en-US" w:eastAsia="zh-CN" w:bidi="ar-SA"/>
        </w:rPr>
        <w:t xml:space="preserve"> </w:t>
      </w:r>
      <w:r>
        <w:rPr>
          <w:rFonts w:hint="eastAsia" w:ascii="宋体" w:hAnsi="宋体" w:eastAsia="宋体" w:cs="宋体"/>
          <w:color w:val="000000"/>
          <w:kern w:val="0"/>
          <w:sz w:val="21"/>
          <w:szCs w:val="21"/>
          <w:lang w:val="en-US" w:eastAsia="zh-CN" w:bidi="ar-SA"/>
        </w:rPr>
        <w:t>宜考虑春晚导演、主持、灯光音响操作人员及节目演艺人员中村民的占比。</w:t>
      </w:r>
    </w:p>
    <w:p>
      <w:pPr>
        <w:pStyle w:val="107"/>
        <w:numPr>
          <w:ilvl w:val="2"/>
          <w:numId w:val="0"/>
        </w:numPr>
        <w:spacing w:before="156" w:after="156"/>
        <w:ind w:leftChars="0"/>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5.</w:t>
      </w:r>
      <w:r>
        <w:rPr>
          <w:rFonts w:hint="eastAsia" w:hAnsi="黑体" w:cs="黑体"/>
          <w:color w:val="000000"/>
          <w:kern w:val="0"/>
          <w:sz w:val="21"/>
          <w:szCs w:val="21"/>
          <w:lang w:val="en-US" w:eastAsia="zh-CN" w:bidi="ar-SA"/>
        </w:rPr>
        <w:t>5</w:t>
      </w:r>
      <w:r>
        <w:rPr>
          <w:rFonts w:hint="eastAsia" w:ascii="黑体" w:hAnsi="黑体" w:eastAsia="黑体" w:cs="黑体"/>
          <w:color w:val="000000"/>
          <w:kern w:val="0"/>
          <w:sz w:val="21"/>
          <w:szCs w:val="21"/>
          <w:lang w:val="en-US" w:eastAsia="zh-CN" w:bidi="ar-SA"/>
        </w:rPr>
        <w:t>.</w:t>
      </w:r>
      <w:r>
        <w:rPr>
          <w:rFonts w:hint="eastAsia" w:hAnsi="黑体" w:cs="黑体"/>
          <w:color w:val="000000"/>
          <w:kern w:val="0"/>
          <w:sz w:val="21"/>
          <w:szCs w:val="21"/>
          <w:lang w:val="en-US" w:eastAsia="zh-CN" w:bidi="ar-SA"/>
        </w:rPr>
        <w:t>2</w:t>
      </w:r>
      <w:r>
        <w:rPr>
          <w:rFonts w:hint="eastAsia" w:ascii="黑体" w:hAnsi="黑体" w:eastAsia="黑体" w:cs="黑体"/>
          <w:color w:val="000000"/>
          <w:kern w:val="0"/>
          <w:sz w:val="21"/>
          <w:szCs w:val="21"/>
          <w:lang w:val="en-US" w:eastAsia="zh-CN" w:bidi="ar-SA"/>
        </w:rPr>
        <w:t xml:space="preserve"> </w:t>
      </w:r>
      <w:r>
        <w:rPr>
          <w:rFonts w:hint="eastAsia" w:ascii="宋体" w:hAnsi="宋体" w:eastAsia="宋体" w:cs="宋体"/>
          <w:color w:val="000000"/>
          <w:kern w:val="0"/>
          <w:sz w:val="21"/>
          <w:szCs w:val="21"/>
          <w:lang w:val="en-US" w:eastAsia="zh-CN" w:bidi="ar-SA"/>
        </w:rPr>
        <w:t>宜考虑春晚演艺人员参与各类培训的情况。</w:t>
      </w:r>
    </w:p>
    <w:p>
      <w:pPr>
        <w:pStyle w:val="107"/>
        <w:spacing w:before="156" w:after="156"/>
        <w:rPr>
          <w:rFonts w:hint="eastAsia" w:ascii="黑体" w:hAnsi="黑体" w:eastAsia="黑体" w:cs="黑体"/>
          <w:color w:val="000000"/>
          <w:kern w:val="0"/>
          <w:sz w:val="21"/>
          <w:szCs w:val="21"/>
          <w:lang w:val="en-US" w:eastAsia="zh-CN" w:bidi="ar-SA"/>
        </w:rPr>
      </w:pPr>
      <w:r>
        <w:rPr>
          <w:rFonts w:hint="eastAsia" w:hAnsi="黑体" w:cs="黑体"/>
          <w:color w:val="000000"/>
          <w:kern w:val="0"/>
          <w:sz w:val="21"/>
          <w:szCs w:val="21"/>
          <w:lang w:val="en-US" w:eastAsia="zh-CN" w:bidi="ar-SA"/>
        </w:rPr>
        <w:t>演艺场所</w:t>
      </w:r>
    </w:p>
    <w:p>
      <w:pPr>
        <w:pStyle w:val="107"/>
        <w:numPr>
          <w:ilvl w:val="2"/>
          <w:numId w:val="0"/>
        </w:numPr>
        <w:spacing w:before="156" w:after="156"/>
        <w:ind w:leftChars="0"/>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5.</w:t>
      </w:r>
      <w:r>
        <w:rPr>
          <w:rFonts w:hint="eastAsia" w:hAnsi="黑体" w:cs="黑体"/>
          <w:color w:val="000000"/>
          <w:kern w:val="0"/>
          <w:sz w:val="21"/>
          <w:szCs w:val="21"/>
          <w:lang w:val="en-US" w:eastAsia="zh-CN" w:bidi="ar-SA"/>
        </w:rPr>
        <w:t>6</w:t>
      </w:r>
      <w:r>
        <w:rPr>
          <w:rFonts w:hint="eastAsia" w:ascii="黑体" w:hAnsi="黑体" w:eastAsia="黑体" w:cs="黑体"/>
          <w:color w:val="000000"/>
          <w:kern w:val="0"/>
          <w:sz w:val="21"/>
          <w:szCs w:val="21"/>
          <w:lang w:val="en-US" w:eastAsia="zh-CN" w:bidi="ar-SA"/>
        </w:rPr>
        <w:t>.</w:t>
      </w:r>
      <w:r>
        <w:rPr>
          <w:rFonts w:hint="eastAsia" w:hAnsi="黑体" w:cs="黑体"/>
          <w:color w:val="000000"/>
          <w:kern w:val="0"/>
          <w:sz w:val="21"/>
          <w:szCs w:val="21"/>
          <w:lang w:val="en-US" w:eastAsia="zh-CN" w:bidi="ar-SA"/>
        </w:rPr>
        <w:t>1</w:t>
      </w:r>
      <w:r>
        <w:rPr>
          <w:rFonts w:hint="eastAsia" w:ascii="黑体" w:hAnsi="黑体" w:eastAsia="黑体" w:cs="黑体"/>
          <w:color w:val="000000"/>
          <w:kern w:val="0"/>
          <w:sz w:val="21"/>
          <w:szCs w:val="21"/>
          <w:lang w:val="en-US" w:eastAsia="zh-CN" w:bidi="ar-SA"/>
        </w:rPr>
        <w:t xml:space="preserve"> </w:t>
      </w:r>
      <w:r>
        <w:rPr>
          <w:rFonts w:hint="eastAsia" w:ascii="宋体" w:hAnsi="宋体" w:eastAsia="宋体" w:cs="宋体"/>
          <w:color w:val="000000"/>
          <w:kern w:val="0"/>
          <w:sz w:val="21"/>
          <w:szCs w:val="21"/>
          <w:lang w:val="en-US" w:eastAsia="zh-CN" w:bidi="ar-SA"/>
        </w:rPr>
        <w:t>宜考虑利用当地风光和特色文化元素布置场所、</w:t>
      </w:r>
      <w:r>
        <w:rPr>
          <w:rFonts w:hint="eastAsia" w:ascii="宋体" w:hAnsi="宋体" w:eastAsia="宋体" w:cs="宋体"/>
          <w:color w:val="000000" w:themeColor="text1"/>
          <w:kern w:val="2"/>
          <w:lang w:val="en-US" w:eastAsia="zh-CN"/>
          <w14:textFill>
            <w14:solidFill>
              <w14:schemeClr w14:val="tx1"/>
            </w14:solidFill>
          </w14:textFill>
        </w:rPr>
        <w:t>舞台设计与周围环境相协调</w:t>
      </w:r>
      <w:r>
        <w:rPr>
          <w:rFonts w:hint="eastAsia" w:ascii="宋体" w:hAnsi="宋体" w:eastAsia="宋体" w:cs="宋体"/>
          <w:color w:val="000000"/>
          <w:kern w:val="0"/>
          <w:sz w:val="21"/>
          <w:szCs w:val="21"/>
          <w:lang w:val="en-US" w:eastAsia="zh-CN" w:bidi="ar-SA"/>
        </w:rPr>
        <w:t>情况。</w:t>
      </w:r>
    </w:p>
    <w:p>
      <w:pPr>
        <w:pStyle w:val="107"/>
        <w:numPr>
          <w:ilvl w:val="2"/>
          <w:numId w:val="0"/>
        </w:numPr>
        <w:spacing w:before="156" w:after="156"/>
        <w:ind w:leftChars="0"/>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5.</w:t>
      </w:r>
      <w:r>
        <w:rPr>
          <w:rFonts w:hint="eastAsia" w:hAnsi="黑体" w:cs="黑体"/>
          <w:color w:val="000000"/>
          <w:kern w:val="0"/>
          <w:sz w:val="21"/>
          <w:szCs w:val="21"/>
          <w:lang w:val="en-US" w:eastAsia="zh-CN" w:bidi="ar-SA"/>
        </w:rPr>
        <w:t>6</w:t>
      </w:r>
      <w:r>
        <w:rPr>
          <w:rFonts w:hint="eastAsia" w:ascii="黑体" w:hAnsi="黑体" w:eastAsia="黑体" w:cs="黑体"/>
          <w:color w:val="000000"/>
          <w:kern w:val="0"/>
          <w:sz w:val="21"/>
          <w:szCs w:val="21"/>
          <w:lang w:val="en-US" w:eastAsia="zh-CN" w:bidi="ar-SA"/>
        </w:rPr>
        <w:t>.</w:t>
      </w:r>
      <w:r>
        <w:rPr>
          <w:rFonts w:hint="eastAsia" w:hAnsi="黑体" w:cs="黑体"/>
          <w:color w:val="000000"/>
          <w:kern w:val="0"/>
          <w:sz w:val="21"/>
          <w:szCs w:val="21"/>
          <w:lang w:val="en-US" w:eastAsia="zh-CN" w:bidi="ar-SA"/>
        </w:rPr>
        <w:t>2</w:t>
      </w:r>
      <w:r>
        <w:rPr>
          <w:rFonts w:hint="eastAsia" w:ascii="黑体" w:hAnsi="黑体" w:eastAsia="黑体" w:cs="黑体"/>
          <w:color w:val="000000"/>
          <w:kern w:val="0"/>
          <w:sz w:val="21"/>
          <w:szCs w:val="21"/>
          <w:lang w:val="en-US" w:eastAsia="zh-CN" w:bidi="ar-SA"/>
        </w:rPr>
        <w:t xml:space="preserve"> </w:t>
      </w:r>
      <w:r>
        <w:rPr>
          <w:rFonts w:hint="eastAsia" w:ascii="宋体" w:hAnsi="宋体" w:eastAsia="宋体" w:cs="宋体"/>
          <w:color w:val="000000"/>
          <w:kern w:val="0"/>
          <w:sz w:val="21"/>
          <w:szCs w:val="21"/>
          <w:lang w:val="en-US" w:eastAsia="zh-CN" w:bidi="ar-SA"/>
        </w:rPr>
        <w:t>宜考虑配备照明、音响、视频等方面设备情况。</w:t>
      </w:r>
    </w:p>
    <w:p>
      <w:pPr>
        <w:pStyle w:val="107"/>
        <w:spacing w:before="156" w:after="156"/>
        <w:rPr>
          <w:rFonts w:hint="eastAsia"/>
          <w:lang w:val="en-US" w:eastAsia="zh-CN"/>
        </w:rPr>
      </w:pPr>
      <w:r>
        <w:rPr>
          <w:rFonts w:hint="eastAsia"/>
          <w:lang w:val="en-US" w:eastAsia="zh-CN"/>
        </w:rPr>
        <w:t>品牌宣传</w:t>
      </w:r>
    </w:p>
    <w:p>
      <w:pPr>
        <w:pStyle w:val="58"/>
        <w:rPr>
          <w:rFonts w:hint="eastAsia"/>
          <w:lang w:val="en-US" w:eastAsia="zh-CN"/>
        </w:rPr>
      </w:pPr>
      <w:r>
        <w:rPr>
          <w:rFonts w:hint="eastAsia"/>
          <w:lang w:val="en-US" w:eastAsia="zh-CN"/>
        </w:rPr>
        <w:t>宜考虑利用杂志、报纸、电视等传统媒体和网络、网红、抖音等新手段新媒体宣传活动的情况。</w:t>
      </w:r>
    </w:p>
    <w:p>
      <w:pPr>
        <w:pStyle w:val="107"/>
        <w:spacing w:before="156" w:after="156"/>
        <w:rPr>
          <w:rFonts w:hint="eastAsia" w:hAnsi="黑体" w:cs="黑体"/>
          <w:color w:val="000000"/>
          <w:kern w:val="0"/>
          <w:sz w:val="21"/>
          <w:szCs w:val="21"/>
          <w:lang w:val="en-US" w:eastAsia="zh-CN" w:bidi="ar-SA"/>
        </w:rPr>
      </w:pPr>
      <w:r>
        <w:rPr>
          <w:rFonts w:hint="eastAsia" w:hAnsi="黑体" w:cs="黑体"/>
          <w:color w:val="000000"/>
          <w:kern w:val="0"/>
          <w:sz w:val="21"/>
          <w:szCs w:val="21"/>
          <w:lang w:val="en-US" w:eastAsia="zh-CN" w:bidi="ar-SA"/>
        </w:rPr>
        <w:t>品牌特色</w:t>
      </w:r>
    </w:p>
    <w:p>
      <w:pPr>
        <w:pStyle w:val="107"/>
        <w:keepNext w:val="0"/>
        <w:keepLines w:val="0"/>
        <w:pageBreakBefore w:val="0"/>
        <w:widowControl/>
        <w:numPr>
          <w:ilvl w:val="2"/>
          <w:numId w:val="0"/>
        </w:numPr>
        <w:kinsoku/>
        <w:wordWrap/>
        <w:overflowPunct/>
        <w:topLinePunct w:val="0"/>
        <w:bidi w:val="0"/>
        <w:adjustRightInd/>
        <w:snapToGrid/>
        <w:spacing w:before="157" w:beforeLines="50" w:after="157" w:afterLines="50"/>
        <w:ind w:leftChars="0"/>
        <w:textAlignment w:val="auto"/>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5.</w:t>
      </w:r>
      <w:r>
        <w:rPr>
          <w:rFonts w:hint="eastAsia" w:hAnsi="黑体" w:cs="黑体"/>
          <w:color w:val="000000"/>
          <w:kern w:val="0"/>
          <w:sz w:val="21"/>
          <w:szCs w:val="21"/>
          <w:lang w:val="en-US" w:eastAsia="zh-CN" w:bidi="ar-SA"/>
        </w:rPr>
        <w:t>9</w:t>
      </w:r>
      <w:r>
        <w:rPr>
          <w:rFonts w:hint="eastAsia" w:ascii="黑体" w:hAnsi="黑体" w:eastAsia="黑体" w:cs="黑体"/>
          <w:color w:val="000000"/>
          <w:kern w:val="0"/>
          <w:sz w:val="21"/>
          <w:szCs w:val="21"/>
          <w:lang w:val="en-US" w:eastAsia="zh-CN" w:bidi="ar-SA"/>
        </w:rPr>
        <w:t>.</w:t>
      </w:r>
      <w:r>
        <w:rPr>
          <w:rFonts w:hint="eastAsia" w:hAnsi="黑体" w:cs="黑体"/>
          <w:color w:val="000000"/>
          <w:kern w:val="0"/>
          <w:sz w:val="21"/>
          <w:szCs w:val="21"/>
          <w:lang w:val="en-US" w:eastAsia="zh-CN" w:bidi="ar-SA"/>
        </w:rPr>
        <w:t xml:space="preserve">1 </w:t>
      </w:r>
      <w:r>
        <w:rPr>
          <w:rFonts w:hint="eastAsia" w:ascii="宋体" w:hAnsi="宋体" w:eastAsia="宋体" w:cs="宋体"/>
          <w:color w:val="000000"/>
          <w:kern w:val="0"/>
          <w:sz w:val="21"/>
          <w:szCs w:val="21"/>
          <w:lang w:val="en-US" w:eastAsia="zh-CN" w:bidi="ar-SA"/>
        </w:rPr>
        <w:t>宜考虑春晚举办年限及知晓度、影响力。</w:t>
      </w:r>
    </w:p>
    <w:p>
      <w:pPr>
        <w:pStyle w:val="58"/>
        <w:keepNext w:val="0"/>
        <w:keepLines w:val="0"/>
        <w:pageBreakBefore w:val="0"/>
        <w:widowControl/>
        <w:kinsoku/>
        <w:wordWrap/>
        <w:overflowPunct/>
        <w:topLinePunct w:val="0"/>
        <w:bidi w:val="0"/>
        <w:adjustRightInd/>
        <w:snapToGrid/>
        <w:spacing w:before="157" w:beforeLines="50" w:after="157" w:afterLines="50"/>
        <w:ind w:left="0" w:leftChars="0" w:firstLine="0" w:firstLineChars="0"/>
        <w:textAlignment w:val="auto"/>
        <w:rPr>
          <w:rFonts w:hint="eastAsia" w:hAnsi="黑体" w:cs="黑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5.9.2</w:t>
      </w:r>
      <w:r>
        <w:rPr>
          <w:rFonts w:hint="eastAsia" w:hAnsi="黑体" w:cs="黑体"/>
          <w:color w:val="000000"/>
          <w:kern w:val="0"/>
          <w:sz w:val="21"/>
          <w:szCs w:val="21"/>
          <w:lang w:val="en-US" w:eastAsia="zh-CN" w:bidi="ar-SA"/>
        </w:rPr>
        <w:t xml:space="preserve"> 宜考虑乡村春晚标识、口号、故事、音乐等要素的运用推广。</w:t>
      </w:r>
    </w:p>
    <w:p>
      <w:pPr>
        <w:pStyle w:val="58"/>
        <w:keepNext w:val="0"/>
        <w:keepLines w:val="0"/>
        <w:pageBreakBefore w:val="0"/>
        <w:widowControl/>
        <w:kinsoku/>
        <w:wordWrap/>
        <w:overflowPunct/>
        <w:topLinePunct w:val="0"/>
        <w:bidi w:val="0"/>
        <w:adjustRightInd/>
        <w:snapToGrid/>
        <w:spacing w:before="157" w:beforeLines="50" w:after="157" w:afterLines="50"/>
        <w:ind w:left="0" w:leftChars="0" w:firstLine="0" w:firstLineChars="0"/>
        <w:textAlignment w:val="auto"/>
        <w:rPr>
          <w:rFonts w:hint="default" w:hAnsi="黑体" w:cs="黑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 xml:space="preserve">5.9.3 </w:t>
      </w:r>
      <w:r>
        <w:rPr>
          <w:rFonts w:hint="eastAsia" w:ascii="宋体" w:hAnsi="宋体" w:eastAsia="宋体" w:cs="宋体"/>
          <w:color w:val="000000"/>
          <w:kern w:val="0"/>
          <w:sz w:val="21"/>
          <w:szCs w:val="21"/>
          <w:lang w:val="en-US" w:eastAsia="zh-CN" w:bidi="ar-SA"/>
        </w:rPr>
        <w:t>宜考虑与乡村旅游、乡村研学、乡村文创、乡村民宿、乡村农产品相融合的实践成果</w:t>
      </w:r>
      <w:r>
        <w:rPr>
          <w:rFonts w:hint="eastAsia" w:hAnsi="宋体" w:cs="宋体"/>
          <w:color w:val="000000"/>
          <w:kern w:val="0"/>
          <w:sz w:val="21"/>
          <w:szCs w:val="21"/>
          <w:lang w:val="en-US" w:eastAsia="zh-CN" w:bidi="ar-SA"/>
        </w:rPr>
        <w:t>。</w:t>
      </w:r>
    </w:p>
    <w:p>
      <w:pPr>
        <w:pStyle w:val="106"/>
        <w:spacing w:before="312" w:after="312"/>
        <w:rPr>
          <w:rFonts w:hint="eastAsia"/>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评价方法</w:t>
      </w:r>
    </w:p>
    <w:p>
      <w:pPr>
        <w:pStyle w:val="107"/>
        <w:spacing w:before="156" w:after="156"/>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宜由评价组织自行组织人员开展评价工作或由评价组织委托第三方开展评价工作。</w:t>
      </w:r>
    </w:p>
    <w:p>
      <w:pPr>
        <w:pStyle w:val="107"/>
        <w:spacing w:before="156" w:after="156"/>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宜对资料评价后开展实地查看，再进行综合评价。</w:t>
      </w:r>
    </w:p>
    <w:p>
      <w:pPr>
        <w:pStyle w:val="106"/>
        <w:spacing w:before="312" w:after="312"/>
        <w:rPr>
          <w:rFonts w:hint="eastAsia"/>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评价程序</w:t>
      </w:r>
    </w:p>
    <w:p>
      <w:pPr>
        <w:pStyle w:val="107"/>
        <w:spacing w:before="156" w:after="156"/>
        <w:rPr>
          <w:rFonts w:hint="eastAsia"/>
          <w:lang w:eastAsia="zh-CN"/>
        </w:rPr>
      </w:pPr>
      <w:r>
        <w:rPr>
          <w:rFonts w:hint="eastAsia"/>
          <w:lang w:eastAsia="zh-CN"/>
        </w:rPr>
        <w:t>确定方案</w:t>
      </w:r>
    </w:p>
    <w:p>
      <w:pPr>
        <w:pStyle w:val="58"/>
        <w:rPr>
          <w:rFonts w:hint="eastAsia"/>
          <w:lang w:eastAsia="zh-CN"/>
        </w:rPr>
      </w:pPr>
      <w:r>
        <w:rPr>
          <w:rFonts w:hint="eastAsia"/>
          <w:lang w:eastAsia="zh-CN"/>
        </w:rPr>
        <w:t>宜成立评价协调组织，制定评价方案，明确评价步骤及要求，融合企业、社会组织等资源为评价工作提供技术支撑。</w:t>
      </w:r>
    </w:p>
    <w:p>
      <w:pPr>
        <w:pStyle w:val="107"/>
        <w:spacing w:before="156" w:after="156"/>
        <w:rPr>
          <w:rFonts w:hint="eastAsia"/>
          <w:lang w:eastAsia="zh-CN"/>
        </w:rPr>
      </w:pPr>
      <w:r>
        <w:rPr>
          <w:rFonts w:hint="eastAsia"/>
          <w:lang w:eastAsia="zh-CN"/>
        </w:rPr>
        <w:t>评价申报</w:t>
      </w:r>
    </w:p>
    <w:p>
      <w:pPr>
        <w:pStyle w:val="107"/>
        <w:numPr>
          <w:ilvl w:val="2"/>
          <w:numId w:val="0"/>
        </w:numPr>
        <w:spacing w:before="156" w:after="156"/>
        <w:ind w:leftChars="0"/>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 xml:space="preserve">7.2.1 </w:t>
      </w:r>
      <w:r>
        <w:rPr>
          <w:rFonts w:hint="eastAsia" w:ascii="宋体" w:hAnsi="宋体" w:eastAsia="宋体" w:cs="宋体"/>
          <w:color w:val="000000"/>
          <w:kern w:val="0"/>
          <w:sz w:val="21"/>
          <w:szCs w:val="21"/>
          <w:lang w:val="en-US" w:eastAsia="zh-CN" w:bidi="ar-SA"/>
        </w:rPr>
        <w:t>宜通过媒体平台等渠道宣传发动，并公示申报要求、评价内容、评价程序等信息。</w:t>
      </w:r>
    </w:p>
    <w:p>
      <w:pPr>
        <w:pStyle w:val="107"/>
        <w:numPr>
          <w:ilvl w:val="2"/>
          <w:numId w:val="0"/>
        </w:numPr>
        <w:spacing w:before="156" w:after="156"/>
        <w:ind w:leftChars="0"/>
        <w:rPr>
          <w:rFonts w:hint="eastAsia" w:ascii="宋体" w:hAnsi="宋体" w:eastAsia="宋体" w:cs="宋体"/>
          <w:color w:val="000000"/>
          <w:kern w:val="0"/>
          <w:sz w:val="21"/>
          <w:szCs w:val="21"/>
          <w:lang w:val="en-US" w:eastAsia="zh-CN" w:bidi="ar-SA"/>
        </w:rPr>
      </w:pPr>
      <w:r>
        <w:rPr>
          <w:rFonts w:hint="eastAsia" w:ascii="黑体" w:hAnsi="黑体" w:eastAsia="黑体" w:cs="黑体"/>
          <w:color w:val="000000"/>
          <w:kern w:val="0"/>
          <w:sz w:val="21"/>
          <w:szCs w:val="21"/>
          <w:lang w:val="en-US" w:eastAsia="zh-CN" w:bidi="ar-SA"/>
        </w:rPr>
        <w:t xml:space="preserve">7.2.2 </w:t>
      </w:r>
      <w:r>
        <w:rPr>
          <w:rFonts w:hint="eastAsia" w:ascii="宋体" w:hAnsi="宋体" w:eastAsia="宋体" w:cs="宋体"/>
          <w:color w:val="000000"/>
          <w:kern w:val="0"/>
          <w:sz w:val="21"/>
          <w:szCs w:val="21"/>
          <w:lang w:val="en-US" w:eastAsia="zh-CN" w:bidi="ar-SA"/>
        </w:rPr>
        <w:t>县、市、区、村(社区)根据评价要求组织申报，宜提交相关实证性材料。</w:t>
      </w:r>
    </w:p>
    <w:p>
      <w:pPr>
        <w:pStyle w:val="107"/>
        <w:spacing w:before="156" w:after="156"/>
        <w:rPr>
          <w:rFonts w:hint="eastAsia"/>
          <w:lang w:eastAsia="zh-CN"/>
        </w:rPr>
      </w:pPr>
      <w:r>
        <w:rPr>
          <w:rFonts w:hint="eastAsia"/>
          <w:lang w:eastAsia="zh-CN"/>
        </w:rPr>
        <w:t>组织评价</w:t>
      </w:r>
    </w:p>
    <w:p>
      <w:pPr>
        <w:pStyle w:val="58"/>
        <w:rPr>
          <w:rFonts w:hint="eastAsia"/>
          <w:lang w:eastAsia="zh-CN"/>
        </w:rPr>
      </w:pPr>
      <w:r>
        <w:rPr>
          <w:rFonts w:hint="eastAsia"/>
          <w:lang w:eastAsia="zh-CN"/>
        </w:rPr>
        <w:t>评价组织宜组织专业人员对申报单位提供的材料进行评议。</w:t>
      </w:r>
    </w:p>
    <w:p>
      <w:pPr>
        <w:pStyle w:val="107"/>
        <w:spacing w:before="156" w:after="156"/>
        <w:rPr>
          <w:rFonts w:hint="eastAsia"/>
          <w:lang w:eastAsia="zh-CN"/>
        </w:rPr>
      </w:pPr>
      <w:r>
        <w:rPr>
          <w:rFonts w:hint="eastAsia"/>
          <w:lang w:eastAsia="zh-CN"/>
        </w:rPr>
        <w:t>结果公示</w:t>
      </w:r>
    </w:p>
    <w:p>
      <w:pPr>
        <w:pStyle w:val="58"/>
        <w:rPr>
          <w:rFonts w:hint="eastAsia"/>
          <w:lang w:eastAsia="zh-CN"/>
        </w:rPr>
      </w:pPr>
      <w:r>
        <w:rPr>
          <w:rFonts w:hint="eastAsia"/>
          <w:lang w:eastAsia="zh-CN"/>
        </w:rPr>
        <w:t>评价组织宜对乡村春晚评价的结果对外进行公布。</w:t>
      </w:r>
    </w:p>
    <w:p>
      <w:pPr>
        <w:pStyle w:val="106"/>
        <w:spacing w:before="312" w:after="312"/>
        <w:rPr>
          <w:rFonts w:hint="eastAsia"/>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评价运用</w:t>
      </w:r>
    </w:p>
    <w:p>
      <w:pPr>
        <w:pStyle w:val="107"/>
        <w:spacing w:before="156" w:after="156"/>
        <w:rPr>
          <w:rFonts w:hint="eastAsia"/>
          <w:lang w:eastAsia="zh-CN"/>
        </w:rPr>
      </w:pPr>
      <w:r>
        <w:rPr>
          <w:rFonts w:hint="eastAsia" w:ascii="宋体" w:hAnsi="宋体" w:eastAsia="宋体" w:cs="宋体"/>
          <w:lang w:eastAsia="zh-CN"/>
        </w:rPr>
        <w:t>宜利用新闻媒体、网络等平台，通过专题采访、动态报道、系列宣传等方式对乡村春晚的成功经验和实际成效进行传播。</w:t>
      </w:r>
    </w:p>
    <w:p>
      <w:pPr>
        <w:pStyle w:val="107"/>
        <w:spacing w:before="156" w:after="156"/>
        <w:rPr>
          <w:rFonts w:hint="eastAsia" w:ascii="宋体" w:hAnsi="宋体" w:eastAsia="宋体" w:cs="宋体"/>
          <w:lang w:eastAsia="zh-CN"/>
        </w:rPr>
      </w:pPr>
      <w:r>
        <w:rPr>
          <w:rFonts w:hint="eastAsia" w:ascii="宋体" w:hAnsi="宋体" w:eastAsia="宋体" w:cs="宋体"/>
          <w:lang w:eastAsia="zh-CN"/>
        </w:rPr>
        <w:t>可将乡村春晚的评价结果作为</w:t>
      </w:r>
      <w:r>
        <w:rPr>
          <w:rFonts w:hint="eastAsia" w:ascii="宋体" w:hAnsi="宋体" w:eastAsia="宋体" w:cs="宋体"/>
          <w:color w:val="000000"/>
          <w:kern w:val="0"/>
          <w:sz w:val="21"/>
          <w:szCs w:val="21"/>
          <w:lang w:val="en-US" w:eastAsia="zh-CN" w:bidi="ar-SA"/>
        </w:rPr>
        <w:t>县、市、区、村(社区)</w:t>
      </w:r>
      <w:r>
        <w:rPr>
          <w:rFonts w:hint="eastAsia" w:ascii="宋体" w:hAnsi="宋体" w:eastAsia="宋体" w:cs="宋体"/>
          <w:lang w:eastAsia="zh-CN"/>
        </w:rPr>
        <w:t>年度工作考核加分或奖励的依据。</w:t>
      </w:r>
    </w:p>
    <w:p>
      <w:pPr>
        <w:pStyle w:val="58"/>
        <w:rPr>
          <w:rFonts w:hint="eastAsia"/>
          <w:lang w:eastAsia="zh-CN"/>
        </w:rPr>
      </w:pPr>
    </w:p>
    <w:bookmarkEnd w:id="58"/>
    <w:p>
      <w:pPr>
        <w:pStyle w:val="58"/>
        <w:ind w:left="0" w:leftChars="0" w:firstLine="0" w:firstLineChars="0"/>
        <w:rPr>
          <w:rFonts w:hint="eastAsia" w:hAnsi="宋体" w:cs="Times New Roman"/>
          <w:kern w:val="0"/>
          <w:sz w:val="24"/>
          <w:szCs w:val="24"/>
          <w:lang w:val="en-US" w:eastAsia="zh-CN" w:bidi="ar-SA"/>
        </w:rPr>
      </w:pPr>
    </w:p>
    <w:p>
      <w:pPr>
        <w:pStyle w:val="58"/>
        <w:ind w:left="0" w:leftChars="0" w:firstLine="0" w:firstLineChars="0"/>
        <w:rPr>
          <w:rFonts w:hint="default" w:hAnsi="宋体" w:cs="Times New Roman"/>
          <w:kern w:val="0"/>
          <w:sz w:val="24"/>
          <w:szCs w:val="24"/>
          <w:lang w:val="en-US" w:eastAsia="zh-CN" w:bidi="ar-SA"/>
        </w:rPr>
      </w:pPr>
    </w:p>
    <w:p>
      <w:pPr>
        <w:pStyle w:val="58"/>
        <w:ind w:left="0" w:leftChars="0" w:firstLine="0" w:firstLineChars="0"/>
        <w:rPr>
          <w:rFonts w:hint="default" w:ascii="黑体" w:eastAsia="黑体" w:cs="Times New Roman"/>
          <w:sz w:val="21"/>
          <w:lang w:val="en-US" w:eastAsia="zh-CN" w:bidi="ar-SA"/>
        </w:rPr>
      </w:pPr>
    </w:p>
    <w:p>
      <w:pPr>
        <w:pStyle w:val="58"/>
        <w:rPr>
          <w:rFonts w:hint="eastAsia"/>
          <w:lang w:val="en-US" w:eastAsia="zh-CN"/>
        </w:rPr>
      </w:pPr>
    </w:p>
    <w:p>
      <w:pPr>
        <w:pStyle w:val="26"/>
        <w:widowControl/>
        <w:shd w:val="clear" w:color="auto" w:fill="FFFFFF"/>
        <w:snapToGrid w:val="0"/>
        <w:spacing w:beforeAutospacing="0" w:afterAutospacing="0"/>
        <w:rPr>
          <w:rFonts w:ascii="宋体" w:hAnsi="宋体" w:eastAsia="宋体" w:cs="宋体"/>
          <w:sz w:val="21"/>
          <w:szCs w:val="21"/>
          <w:shd w:val="clear" w:color="auto" w:fill="FFFFFF"/>
        </w:rPr>
      </w:pPr>
    </w:p>
    <w:p>
      <w:pPr>
        <w:pStyle w:val="58"/>
        <w:ind w:firstLine="420"/>
      </w:pPr>
    </w:p>
    <w:bookmarkEnd w:id="26"/>
    <w:p>
      <w:pPr>
        <w:pStyle w:val="58"/>
        <w:ind w:firstLine="0" w:firstLineChars="0"/>
        <w:rPr>
          <w:color w:val="FF0000"/>
        </w:rPr>
      </w:pPr>
    </w:p>
    <w:p>
      <w:pPr>
        <w:pStyle w:val="58"/>
        <w:ind w:firstLine="0" w:firstLineChars="0"/>
        <w:rPr>
          <w:color w:val="FF0000"/>
        </w:rPr>
      </w:pPr>
      <w:bookmarkStart w:id="59" w:name="BookMark8"/>
      <w:r>
        <w:rPr>
          <w:rFonts w:hint="eastAsia"/>
        </w:rPr>
        <w:t>　　　　　　　　　　　　　</w:t>
      </w:r>
      <w:r>
        <w:drawing>
          <wp:inline distT="0" distB="0" distL="0" distR="0">
            <wp:extent cx="2199640" cy="335915"/>
            <wp:effectExtent l="0" t="0" r="10160" b="6985"/>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4"/>
                    <a:stretch>
                      <a:fillRect/>
                    </a:stretch>
                  </pic:blipFill>
                  <pic:spPr>
                    <a:xfrm>
                      <a:off x="0" y="0"/>
                      <a:ext cx="2199640" cy="335915"/>
                    </a:xfrm>
                    <a:prstGeom prst="rect">
                      <a:avLst/>
                    </a:prstGeom>
                  </pic:spPr>
                </pic:pic>
              </a:graphicData>
            </a:graphic>
          </wp:inline>
        </w:drawing>
      </w:r>
      <w:bookmarkEnd w:id="59"/>
    </w:p>
    <w:p>
      <w:pPr>
        <w:pStyle w:val="58"/>
        <w:ind w:firstLine="0" w:firstLineChars="0"/>
        <w:rPr>
          <w:color w:val="FF0000"/>
        </w:rPr>
      </w:pPr>
      <w:r>
        <w:rPr>
          <w:rFonts w:hint="eastAsia"/>
          <w:color w:val="FF0000"/>
        </w:rPr>
        <w:t xml:space="preserve">                         </w:t>
      </w:r>
    </w:p>
    <w:sectPr>
      <w:pgSz w:w="11906" w:h="16838"/>
      <w:pgMar w:top="1928" w:right="1134" w:bottom="1134" w:left="1134" w:header="1418" w:footer="1134" w:gutter="284"/>
      <w:pgNumType w:start="1"/>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fldChar w:fldCharType="begin"/>
    </w:r>
    <w:r>
      <w:instrText xml:space="preserve">PAGE   \* MERGEFORMAT</w:instrText>
    </w:r>
    <w:r>
      <w:fldChar w:fldCharType="separate"/>
    </w:r>
    <w:r>
      <w:rPr>
        <w:lang w:val="zh-CN"/>
      </w:rPr>
      <w:t>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pPr>
    <w:r>
      <w:fldChar w:fldCharType="begin"/>
    </w:r>
    <w:r>
      <w:instrText xml:space="preserve"> STYLEREF  标准文件_文件编号  \* MERGEFORMAT </w:instrText>
    </w:r>
    <w:r>
      <w:fldChar w:fldCharType="separate"/>
    </w:r>
    <w:r>
      <w:t>DB 3311/T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3311/T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34"/>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233"/>
      <w:suff w:val="nothing"/>
      <w:lvlText w:val="%1.%2.%3  "/>
      <w:lvlJc w:val="left"/>
      <w:pPr>
        <w:ind w:left="0" w:firstLine="0"/>
      </w:pPr>
      <w:rPr>
        <w:rFonts w:hint="eastAsia" w:ascii="黑体" w:hAnsi="Times New Roman" w:eastAsia="黑体"/>
        <w:b w:val="0"/>
        <w:i w:val="0"/>
        <w:color w:val="auto"/>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1">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710" w:firstLine="0"/>
      </w:pPr>
      <w:rPr>
        <w:rFonts w:hint="eastAsia" w:ascii="黑体" w:eastAsia="黑体"/>
        <w:b w:val="0"/>
        <w:i w:val="0"/>
        <w:color w:val="auto"/>
        <w:sz w:val="21"/>
      </w:rPr>
    </w:lvl>
    <w:lvl w:ilvl="4" w:tentative="0">
      <w:start w:val="1"/>
      <w:numFmt w:val="decimal"/>
      <w:pStyle w:val="96"/>
      <w:suff w:val="nothing"/>
      <w:lvlText w:val="%1%2.%3.%4.%5　"/>
      <w:lvlJc w:val="left"/>
      <w:pPr>
        <w:ind w:left="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9"/>
  </w:num>
  <w:num w:numId="10">
    <w:abstractNumId w:val="17"/>
  </w:num>
  <w:num w:numId="11">
    <w:abstractNumId w:val="26"/>
  </w:num>
  <w:num w:numId="12">
    <w:abstractNumId w:val="12"/>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1"/>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forms" w:enforcement="1" w:cryptProviderType="rsaAES" w:cryptAlgorithmClass="hash" w:cryptAlgorithmType="typeAny" w:cryptAlgorithmSid="14" w:cryptSpinCount="100000" w:hash="qQeeRyMgl6+UKRen59SI82nfpo626jPySQXxXXsVa+zKJgKGPlA1F9IoomQAdEnidNyk2lIM8ZY4+dPJgrgADA==" w:salt="y1eAR77jdECGv4OXLa7M/g=="/>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NkZTA5NTA2NzFhYzc5YTE4MWZkOWU2ZGQ2YmJhOWYifQ=="/>
    <w:docVar w:name="KSO_WPS_MARK_KEY" w:val="14d0aaf8-1ca6-4064-bf21-8cd4da5d1109"/>
  </w:docVars>
  <w:rsids>
    <w:rsidRoot w:val="00525A03"/>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6ADC"/>
    <w:rsid w:val="00067F1E"/>
    <w:rsid w:val="00071CC0"/>
    <w:rsid w:val="00073C8C"/>
    <w:rsid w:val="00077B64"/>
    <w:rsid w:val="00080A1C"/>
    <w:rsid w:val="00082317"/>
    <w:rsid w:val="00083D2C"/>
    <w:rsid w:val="00086458"/>
    <w:rsid w:val="00086AA1"/>
    <w:rsid w:val="00087A77"/>
    <w:rsid w:val="00090CA6"/>
    <w:rsid w:val="00092B8A"/>
    <w:rsid w:val="00092FB0"/>
    <w:rsid w:val="000934C5"/>
    <w:rsid w:val="00093D25"/>
    <w:rsid w:val="00093DAB"/>
    <w:rsid w:val="00094D73"/>
    <w:rsid w:val="00095428"/>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0F6FF3"/>
    <w:rsid w:val="0010147E"/>
    <w:rsid w:val="00104926"/>
    <w:rsid w:val="00106F2A"/>
    <w:rsid w:val="00113B1E"/>
    <w:rsid w:val="0011711C"/>
    <w:rsid w:val="0012059C"/>
    <w:rsid w:val="00124E4F"/>
    <w:rsid w:val="00125690"/>
    <w:rsid w:val="001260B7"/>
    <w:rsid w:val="001265CB"/>
    <w:rsid w:val="001321C6"/>
    <w:rsid w:val="001325C4"/>
    <w:rsid w:val="00133010"/>
    <w:rsid w:val="001338EE"/>
    <w:rsid w:val="00133AAE"/>
    <w:rsid w:val="00135323"/>
    <w:rsid w:val="001356C4"/>
    <w:rsid w:val="00141114"/>
    <w:rsid w:val="001421EB"/>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17716"/>
    <w:rsid w:val="002204BB"/>
    <w:rsid w:val="00221B79"/>
    <w:rsid w:val="00221C6B"/>
    <w:rsid w:val="00223E87"/>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5215"/>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8DB"/>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631"/>
    <w:rsid w:val="003B6BE3"/>
    <w:rsid w:val="003C010C"/>
    <w:rsid w:val="003C0A6C"/>
    <w:rsid w:val="003C14F8"/>
    <w:rsid w:val="003C5A43"/>
    <w:rsid w:val="003D0519"/>
    <w:rsid w:val="003D0FF6"/>
    <w:rsid w:val="003D181D"/>
    <w:rsid w:val="003D262C"/>
    <w:rsid w:val="003D6D61"/>
    <w:rsid w:val="003D79C6"/>
    <w:rsid w:val="003E091D"/>
    <w:rsid w:val="003E1C53"/>
    <w:rsid w:val="003E2A69"/>
    <w:rsid w:val="003E2D49"/>
    <w:rsid w:val="003E2FD4"/>
    <w:rsid w:val="003E49F6"/>
    <w:rsid w:val="003E660F"/>
    <w:rsid w:val="003E7B96"/>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2748"/>
    <w:rsid w:val="00463B77"/>
    <w:rsid w:val="00463C7B"/>
    <w:rsid w:val="004644A6"/>
    <w:rsid w:val="004659BD"/>
    <w:rsid w:val="00470775"/>
    <w:rsid w:val="004746B1"/>
    <w:rsid w:val="0047583F"/>
    <w:rsid w:val="00475DE8"/>
    <w:rsid w:val="00481C44"/>
    <w:rsid w:val="00484936"/>
    <w:rsid w:val="004854C9"/>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495A"/>
    <w:rsid w:val="004C4B97"/>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4DE5"/>
    <w:rsid w:val="00525A03"/>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27D5"/>
    <w:rsid w:val="00555044"/>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1CBF"/>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3DE0"/>
    <w:rsid w:val="00614CC1"/>
    <w:rsid w:val="00615A9D"/>
    <w:rsid w:val="00617387"/>
    <w:rsid w:val="006205D6"/>
    <w:rsid w:val="006252D8"/>
    <w:rsid w:val="006259BC"/>
    <w:rsid w:val="0062636B"/>
    <w:rsid w:val="00632182"/>
    <w:rsid w:val="00632AE0"/>
    <w:rsid w:val="00633C17"/>
    <w:rsid w:val="00634077"/>
    <w:rsid w:val="00634D9E"/>
    <w:rsid w:val="00636E3E"/>
    <w:rsid w:val="006379F7"/>
    <w:rsid w:val="00637E4D"/>
    <w:rsid w:val="00640620"/>
    <w:rsid w:val="00641A1F"/>
    <w:rsid w:val="00645904"/>
    <w:rsid w:val="00651ACB"/>
    <w:rsid w:val="00651C47"/>
    <w:rsid w:val="00652AB2"/>
    <w:rsid w:val="00653CDD"/>
    <w:rsid w:val="00653FED"/>
    <w:rsid w:val="00654EC0"/>
    <w:rsid w:val="0065525B"/>
    <w:rsid w:val="00655CE9"/>
    <w:rsid w:val="00655D4F"/>
    <w:rsid w:val="00656D29"/>
    <w:rsid w:val="006640E5"/>
    <w:rsid w:val="006646F1"/>
    <w:rsid w:val="00664929"/>
    <w:rsid w:val="00664F62"/>
    <w:rsid w:val="006655E1"/>
    <w:rsid w:val="00670CCC"/>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2577"/>
    <w:rsid w:val="00704387"/>
    <w:rsid w:val="0070661A"/>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AAB"/>
    <w:rsid w:val="00756B26"/>
    <w:rsid w:val="00756EDF"/>
    <w:rsid w:val="007600E3"/>
    <w:rsid w:val="00761E9F"/>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09B8"/>
    <w:rsid w:val="0083348C"/>
    <w:rsid w:val="008373D3"/>
    <w:rsid w:val="00840617"/>
    <w:rsid w:val="00840F84"/>
    <w:rsid w:val="00842A47"/>
    <w:rsid w:val="00843C13"/>
    <w:rsid w:val="008454F8"/>
    <w:rsid w:val="0085173A"/>
    <w:rsid w:val="00856316"/>
    <w:rsid w:val="008603CE"/>
    <w:rsid w:val="00860658"/>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0AFB"/>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745D"/>
    <w:rsid w:val="009245F5"/>
    <w:rsid w:val="009249EC"/>
    <w:rsid w:val="009273B3"/>
    <w:rsid w:val="009305B5"/>
    <w:rsid w:val="009429D5"/>
    <w:rsid w:val="00942BF1"/>
    <w:rsid w:val="00943675"/>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2F26"/>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60B3"/>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1EEF"/>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49E"/>
    <w:rsid w:val="00AE5EB4"/>
    <w:rsid w:val="00AF0C18"/>
    <w:rsid w:val="00AF47C5"/>
    <w:rsid w:val="00AF5398"/>
    <w:rsid w:val="00AF734C"/>
    <w:rsid w:val="00B049AF"/>
    <w:rsid w:val="00B07242"/>
    <w:rsid w:val="00B10534"/>
    <w:rsid w:val="00B113DB"/>
    <w:rsid w:val="00B11D8A"/>
    <w:rsid w:val="00B12981"/>
    <w:rsid w:val="00B147DD"/>
    <w:rsid w:val="00B156FD"/>
    <w:rsid w:val="00B21F61"/>
    <w:rsid w:val="00B2406F"/>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F"/>
    <w:rsid w:val="00B62B58"/>
    <w:rsid w:val="00B6354B"/>
    <w:rsid w:val="00B63EA4"/>
    <w:rsid w:val="00B65149"/>
    <w:rsid w:val="00B66567"/>
    <w:rsid w:val="00B66F52"/>
    <w:rsid w:val="00B66FE5"/>
    <w:rsid w:val="00B72880"/>
    <w:rsid w:val="00B758BF"/>
    <w:rsid w:val="00B77EC8"/>
    <w:rsid w:val="00B827A6"/>
    <w:rsid w:val="00B831CE"/>
    <w:rsid w:val="00B86677"/>
    <w:rsid w:val="00B87131"/>
    <w:rsid w:val="00B939B1"/>
    <w:rsid w:val="00B95DC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46B8"/>
    <w:rsid w:val="00BE5B52"/>
    <w:rsid w:val="00BE6859"/>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143F"/>
    <w:rsid w:val="00D126F5"/>
    <w:rsid w:val="00D1489E"/>
    <w:rsid w:val="00D20737"/>
    <w:rsid w:val="00D21E81"/>
    <w:rsid w:val="00D223DE"/>
    <w:rsid w:val="00D25E37"/>
    <w:rsid w:val="00D2661A"/>
    <w:rsid w:val="00D27582"/>
    <w:rsid w:val="00D27EC4"/>
    <w:rsid w:val="00D32204"/>
    <w:rsid w:val="00D32719"/>
    <w:rsid w:val="00D33333"/>
    <w:rsid w:val="00D33457"/>
    <w:rsid w:val="00D352A2"/>
    <w:rsid w:val="00D4162B"/>
    <w:rsid w:val="00D4514F"/>
    <w:rsid w:val="00D451E2"/>
    <w:rsid w:val="00D45E89"/>
    <w:rsid w:val="00D45E8D"/>
    <w:rsid w:val="00D466AE"/>
    <w:rsid w:val="00D4734F"/>
    <w:rsid w:val="00D51BF3"/>
    <w:rsid w:val="00D66846"/>
    <w:rsid w:val="00D675FB"/>
    <w:rsid w:val="00D70D0A"/>
    <w:rsid w:val="00D71F25"/>
    <w:rsid w:val="00D72A9C"/>
    <w:rsid w:val="00D77031"/>
    <w:rsid w:val="00D84941"/>
    <w:rsid w:val="00D84FA1"/>
    <w:rsid w:val="00D851F0"/>
    <w:rsid w:val="00D85F4B"/>
    <w:rsid w:val="00D86DB7"/>
    <w:rsid w:val="00D910B5"/>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5E5A"/>
    <w:rsid w:val="00DD6BCC"/>
    <w:rsid w:val="00DE0A4B"/>
    <w:rsid w:val="00DE2410"/>
    <w:rsid w:val="00DE2939"/>
    <w:rsid w:val="00DE6E81"/>
    <w:rsid w:val="00DE703F"/>
    <w:rsid w:val="00DE7595"/>
    <w:rsid w:val="00DF1961"/>
    <w:rsid w:val="00DF44DE"/>
    <w:rsid w:val="00DF5F11"/>
    <w:rsid w:val="00E00DDC"/>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5723C"/>
    <w:rsid w:val="00E60C63"/>
    <w:rsid w:val="00E62FF9"/>
    <w:rsid w:val="00E635D6"/>
    <w:rsid w:val="00E639BC"/>
    <w:rsid w:val="00E664CC"/>
    <w:rsid w:val="00E70388"/>
    <w:rsid w:val="00E70F92"/>
    <w:rsid w:val="00E74C54"/>
    <w:rsid w:val="00E774CD"/>
    <w:rsid w:val="00E77A03"/>
    <w:rsid w:val="00E822E8"/>
    <w:rsid w:val="00E82554"/>
    <w:rsid w:val="00E82606"/>
    <w:rsid w:val="00E846C8"/>
    <w:rsid w:val="00E84957"/>
    <w:rsid w:val="00E84A55"/>
    <w:rsid w:val="00E85BFF"/>
    <w:rsid w:val="00E90391"/>
    <w:rsid w:val="00E906C2"/>
    <w:rsid w:val="00E9311F"/>
    <w:rsid w:val="00E934D1"/>
    <w:rsid w:val="00E93D03"/>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1E31"/>
    <w:rsid w:val="00F12263"/>
    <w:rsid w:val="00F1409D"/>
    <w:rsid w:val="00F14214"/>
    <w:rsid w:val="00F157A9"/>
    <w:rsid w:val="00F25BB6"/>
    <w:rsid w:val="00F26B7E"/>
    <w:rsid w:val="00F27A3B"/>
    <w:rsid w:val="00F31D67"/>
    <w:rsid w:val="00F33817"/>
    <w:rsid w:val="00F41F9F"/>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5248"/>
    <w:rsid w:val="00F956A9"/>
    <w:rsid w:val="00F963ED"/>
    <w:rsid w:val="00F966CF"/>
    <w:rsid w:val="00F96AAE"/>
    <w:rsid w:val="00F96CAE"/>
    <w:rsid w:val="00F97C99"/>
    <w:rsid w:val="00FA4DAC"/>
    <w:rsid w:val="00FA662D"/>
    <w:rsid w:val="00FA73B1"/>
    <w:rsid w:val="00FB0CB9"/>
    <w:rsid w:val="00FB231D"/>
    <w:rsid w:val="00FB2633"/>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6346A01"/>
    <w:rsid w:val="099472E7"/>
    <w:rsid w:val="0E7F56B2"/>
    <w:rsid w:val="105C524F"/>
    <w:rsid w:val="11D572B0"/>
    <w:rsid w:val="15A57456"/>
    <w:rsid w:val="16BC7021"/>
    <w:rsid w:val="19D00511"/>
    <w:rsid w:val="1A622011"/>
    <w:rsid w:val="1AF222F7"/>
    <w:rsid w:val="1BA55EE3"/>
    <w:rsid w:val="1C1520C0"/>
    <w:rsid w:val="1C6F7FE6"/>
    <w:rsid w:val="1DD71BC3"/>
    <w:rsid w:val="1EEC7706"/>
    <w:rsid w:val="1EEF7CF6"/>
    <w:rsid w:val="1F262338"/>
    <w:rsid w:val="239334F8"/>
    <w:rsid w:val="2526088F"/>
    <w:rsid w:val="260F5E9E"/>
    <w:rsid w:val="2A4E5809"/>
    <w:rsid w:val="2C503A49"/>
    <w:rsid w:val="2C5A1872"/>
    <w:rsid w:val="2CFF241A"/>
    <w:rsid w:val="2F3E7229"/>
    <w:rsid w:val="3007345C"/>
    <w:rsid w:val="33EA37DA"/>
    <w:rsid w:val="34E02B31"/>
    <w:rsid w:val="3BD514FF"/>
    <w:rsid w:val="3BE962B9"/>
    <w:rsid w:val="40F97B46"/>
    <w:rsid w:val="41D11944"/>
    <w:rsid w:val="42F44E1F"/>
    <w:rsid w:val="464A3148"/>
    <w:rsid w:val="47C0730F"/>
    <w:rsid w:val="48A95CD8"/>
    <w:rsid w:val="49401F40"/>
    <w:rsid w:val="4A65550A"/>
    <w:rsid w:val="4CD570EC"/>
    <w:rsid w:val="4CEF2E26"/>
    <w:rsid w:val="4FF62FA2"/>
    <w:rsid w:val="51375F97"/>
    <w:rsid w:val="51C45EE7"/>
    <w:rsid w:val="53252AC6"/>
    <w:rsid w:val="5486713F"/>
    <w:rsid w:val="5F3A3C59"/>
    <w:rsid w:val="60C05AAC"/>
    <w:rsid w:val="60C32A5F"/>
    <w:rsid w:val="611511C3"/>
    <w:rsid w:val="63050B57"/>
    <w:rsid w:val="63470859"/>
    <w:rsid w:val="68D11553"/>
    <w:rsid w:val="69A75566"/>
    <w:rsid w:val="6A432074"/>
    <w:rsid w:val="790B608B"/>
    <w:rsid w:val="79473209"/>
    <w:rsid w:val="79D0629D"/>
    <w:rsid w:val="7A58579F"/>
    <w:rsid w:val="7BE376B6"/>
    <w:rsid w:val="7E49018E"/>
    <w:rsid w:val="7E4D7B60"/>
    <w:rsid w:val="7F9D6DB9"/>
    <w:rsid w:val="7FCA0E58"/>
    <w:rsid w:val="EFD33C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8"/>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7"/>
    <w:semiHidden/>
    <w:unhideWhenUsed/>
    <w:qFormat/>
    <w:uiPriority w:val="99"/>
    <w:rPr>
      <w:sz w:val="18"/>
      <w:szCs w:val="18"/>
    </w:rPr>
  </w:style>
  <w:style w:type="paragraph" w:styleId="17">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5"/>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HTML Preformatted"/>
    <w:basedOn w:val="1"/>
    <w:link w:val="23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pPr>
    <w:rPr>
      <w:rFonts w:hint="eastAsia" w:ascii="宋体" w:hAnsi="宋体"/>
      <w:kern w:val="0"/>
      <w:sz w:val="24"/>
      <w:szCs w:val="24"/>
    </w:rPr>
  </w:style>
  <w:style w:type="paragraph" w:styleId="26">
    <w:name w:val="Normal (Web)"/>
    <w:basedOn w:val="1"/>
    <w:unhideWhenUsed/>
    <w:qFormat/>
    <w:uiPriority w:val="99"/>
    <w:pPr>
      <w:adjustRightInd/>
      <w:spacing w:beforeAutospacing="1" w:afterAutospacing="1" w:line="240" w:lineRule="auto"/>
      <w:jc w:val="left"/>
    </w:pPr>
    <w:rPr>
      <w:rFonts w:asciiTheme="minorHAnsi" w:hAnsiTheme="minorHAnsi" w:eastAsiaTheme="minorEastAsia"/>
      <w:kern w:val="0"/>
      <w:sz w:val="24"/>
      <w:szCs w:val="22"/>
    </w:rPr>
  </w:style>
  <w:style w:type="paragraph" w:styleId="27">
    <w:name w:val="Title"/>
    <w:basedOn w:val="1"/>
    <w:link w:val="50"/>
    <w:qFormat/>
    <w:uiPriority w:val="0"/>
    <w:pPr>
      <w:spacing w:before="240" w:after="60"/>
      <w:jc w:val="center"/>
      <w:outlineLvl w:val="0"/>
    </w:pPr>
    <w:rPr>
      <w:rFonts w:ascii="Arial" w:hAnsi="Arial" w:cs="Arial"/>
      <w:b/>
      <w:bCs/>
      <w:sz w:val="32"/>
      <w:szCs w:val="32"/>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字符"/>
    <w:link w:val="2"/>
    <w:qFormat/>
    <w:uiPriority w:val="0"/>
    <w:rPr>
      <w:b/>
      <w:bCs/>
      <w:kern w:val="44"/>
      <w:sz w:val="44"/>
      <w:szCs w:val="44"/>
    </w:rPr>
  </w:style>
  <w:style w:type="character" w:customStyle="1" w:styleId="37">
    <w:name w:val="标题 2 字符"/>
    <w:link w:val="3"/>
    <w:qFormat/>
    <w:uiPriority w:val="0"/>
    <w:rPr>
      <w:rFonts w:ascii="Arial" w:hAnsi="Arial" w:eastAsia="黑体"/>
      <w:b/>
      <w:bCs/>
      <w:kern w:val="2"/>
      <w:sz w:val="32"/>
      <w:szCs w:val="32"/>
    </w:rPr>
  </w:style>
  <w:style w:type="character" w:customStyle="1" w:styleId="38">
    <w:name w:val="标题 3 字符"/>
    <w:link w:val="4"/>
    <w:qFormat/>
    <w:uiPriority w:val="0"/>
    <w:rPr>
      <w:b/>
      <w:bCs/>
      <w:kern w:val="2"/>
      <w:sz w:val="32"/>
      <w:szCs w:val="32"/>
    </w:rPr>
  </w:style>
  <w:style w:type="character" w:customStyle="1" w:styleId="39">
    <w:name w:val="标题 4 字符"/>
    <w:link w:val="5"/>
    <w:qFormat/>
    <w:uiPriority w:val="0"/>
    <w:rPr>
      <w:rFonts w:ascii="Arial" w:hAnsi="Arial" w:eastAsia="黑体"/>
      <w:b/>
      <w:bCs/>
      <w:kern w:val="2"/>
      <w:sz w:val="28"/>
      <w:szCs w:val="28"/>
    </w:rPr>
  </w:style>
  <w:style w:type="character" w:customStyle="1" w:styleId="40">
    <w:name w:val="标题 5 字符"/>
    <w:link w:val="6"/>
    <w:qFormat/>
    <w:uiPriority w:val="0"/>
    <w:rPr>
      <w:b/>
      <w:bCs/>
      <w:kern w:val="2"/>
      <w:sz w:val="28"/>
      <w:szCs w:val="28"/>
    </w:rPr>
  </w:style>
  <w:style w:type="character" w:customStyle="1" w:styleId="41">
    <w:name w:val="标题 6 字符"/>
    <w:link w:val="7"/>
    <w:qFormat/>
    <w:uiPriority w:val="0"/>
    <w:rPr>
      <w:rFonts w:ascii="Arial" w:hAnsi="Arial" w:eastAsia="黑体"/>
      <w:b/>
      <w:bCs/>
      <w:kern w:val="2"/>
      <w:sz w:val="24"/>
      <w:szCs w:val="24"/>
    </w:rPr>
  </w:style>
  <w:style w:type="character" w:customStyle="1" w:styleId="42">
    <w:name w:val="标题 7 字符"/>
    <w:link w:val="8"/>
    <w:qFormat/>
    <w:uiPriority w:val="0"/>
    <w:rPr>
      <w:b/>
      <w:bCs/>
      <w:kern w:val="2"/>
      <w:sz w:val="24"/>
      <w:szCs w:val="24"/>
    </w:rPr>
  </w:style>
  <w:style w:type="character" w:customStyle="1" w:styleId="43">
    <w:name w:val="标题 8 字符"/>
    <w:link w:val="9"/>
    <w:qFormat/>
    <w:uiPriority w:val="0"/>
    <w:rPr>
      <w:rFonts w:ascii="Arial" w:hAnsi="Arial" w:eastAsia="黑体"/>
      <w:kern w:val="2"/>
      <w:sz w:val="24"/>
      <w:szCs w:val="24"/>
    </w:rPr>
  </w:style>
  <w:style w:type="character" w:customStyle="1" w:styleId="44">
    <w:name w:val="标题 9 字符"/>
    <w:link w:val="10"/>
    <w:qFormat/>
    <w:uiPriority w:val="0"/>
    <w:rPr>
      <w:rFonts w:ascii="Arial" w:hAnsi="Arial" w:eastAsia="黑体"/>
      <w:kern w:val="2"/>
      <w:sz w:val="21"/>
      <w:szCs w:val="21"/>
    </w:rPr>
  </w:style>
  <w:style w:type="character" w:customStyle="1" w:styleId="45">
    <w:name w:val="页眉 字符"/>
    <w:link w:val="18"/>
    <w:qFormat/>
    <w:uiPriority w:val="99"/>
    <w:rPr>
      <w:kern w:val="2"/>
      <w:sz w:val="18"/>
      <w:szCs w:val="18"/>
    </w:rPr>
  </w:style>
  <w:style w:type="character" w:customStyle="1" w:styleId="46">
    <w:name w:val="页脚 字符"/>
    <w:link w:val="17"/>
    <w:qFormat/>
    <w:uiPriority w:val="99"/>
    <w:rPr>
      <w:rFonts w:ascii="宋体"/>
      <w:kern w:val="2"/>
      <w:sz w:val="18"/>
      <w:szCs w:val="18"/>
    </w:rPr>
  </w:style>
  <w:style w:type="character" w:customStyle="1" w:styleId="47">
    <w:name w:val="批注框文本 字符"/>
    <w:link w:val="16"/>
    <w:semiHidden/>
    <w:qFormat/>
    <w:uiPriority w:val="99"/>
    <w:rPr>
      <w:kern w:val="2"/>
      <w:sz w:val="18"/>
      <w:szCs w:val="18"/>
    </w:rPr>
  </w:style>
  <w:style w:type="paragraph" w:styleId="48">
    <w:name w:val="Quote"/>
    <w:basedOn w:val="1"/>
    <w:next w:val="1"/>
    <w:link w:val="49"/>
    <w:qFormat/>
    <w:uiPriority w:val="29"/>
    <w:rPr>
      <w:i/>
      <w:iCs/>
      <w:color w:val="000000"/>
    </w:rPr>
  </w:style>
  <w:style w:type="character" w:customStyle="1" w:styleId="49">
    <w:name w:val="引用 字符"/>
    <w:link w:val="48"/>
    <w:qFormat/>
    <w:uiPriority w:val="29"/>
    <w:rPr>
      <w:i/>
      <w:iCs/>
      <w:color w:val="000000"/>
      <w:kern w:val="2"/>
      <w:sz w:val="21"/>
      <w:szCs w:val="21"/>
    </w:rPr>
  </w:style>
  <w:style w:type="character" w:customStyle="1" w:styleId="50">
    <w:name w:val="标题 字符"/>
    <w:link w:val="27"/>
    <w:qFormat/>
    <w:uiPriority w:val="0"/>
    <w:rPr>
      <w:rFonts w:ascii="Arial" w:hAnsi="Arial" w:cs="Arial"/>
      <w:b/>
      <w:bCs/>
      <w:kern w:val="2"/>
      <w:sz w:val="32"/>
      <w:szCs w:val="32"/>
    </w:rPr>
  </w:style>
  <w:style w:type="paragraph" w:customStyle="1" w:styleId="5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qFormat/>
    <w:uiPriority w:val="0"/>
    <w:pPr>
      <w:spacing w:line="0" w:lineRule="atLeast"/>
    </w:pPr>
    <w:rPr>
      <w:rFonts w:ascii="黑体" w:hAnsi="宋体" w:eastAsia="黑体"/>
    </w:rPr>
  </w:style>
  <w:style w:type="paragraph" w:customStyle="1" w:styleId="57">
    <w:name w:val="标准文件_标准正文"/>
    <w:basedOn w:val="1"/>
    <w:next w:val="58"/>
    <w:qFormat/>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标准文件_版本"/>
    <w:basedOn w:val="57"/>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qFormat/>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13"/>
    <w:qFormat/>
    <w:uiPriority w:val="0"/>
    <w:rPr>
      <w:kern w:val="2"/>
      <w:sz w:val="21"/>
      <w:szCs w:val="21"/>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ind w:left="0" w:firstLine="0"/>
    </w:pPr>
  </w:style>
  <w:style w:type="paragraph" w:customStyle="1" w:styleId="93">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pPr>
  </w:style>
  <w:style w:type="paragraph" w:customStyle="1" w:styleId="96">
    <w:name w:val="标准文件_三级条标题"/>
    <w:basedOn w:val="67"/>
    <w:next w:val="58"/>
    <w:qFormat/>
    <w:uiPriority w:val="0"/>
    <w:pPr>
      <w:widowControl/>
      <w:numPr>
        <w:ilvl w:val="4"/>
      </w:numPr>
      <w:outlineLvl w:val="3"/>
    </w:pPr>
  </w:style>
  <w:style w:type="character" w:customStyle="1" w:styleId="97">
    <w:name w:val="不明显参考1"/>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1"/>
    <w:semiHidden/>
    <w:qFormat/>
    <w:uiPriority w:val="0"/>
    <w:rPr>
      <w:rFonts w:ascii="宋体"/>
      <w:kern w:val="2"/>
      <w:sz w:val="18"/>
      <w:szCs w:val="18"/>
    </w:rPr>
  </w:style>
  <w:style w:type="paragraph" w:customStyle="1" w:styleId="102">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semiHidden/>
    <w:qFormat/>
    <w:uiPriority w:val="0"/>
    <w:pPr>
      <w:adjustRightInd/>
      <w:spacing w:line="240" w:lineRule="auto"/>
      <w:jc w:val="left"/>
    </w:pPr>
    <w:rPr>
      <w:bCs/>
      <w:iCs/>
    </w:rPr>
  </w:style>
  <w:style w:type="paragraph" w:customStyle="1" w:styleId="145">
    <w:name w:val="目录 31"/>
    <w:basedOn w:val="1"/>
    <w:next w:val="1"/>
    <w:semiHidden/>
    <w:qFormat/>
    <w:uiPriority w:val="0"/>
    <w:pPr>
      <w:spacing w:line="240" w:lineRule="auto"/>
    </w:pPr>
    <w:rPr>
      <w:rFonts w:ascii="宋体" w:hAnsi="宋体"/>
      <w:iCs/>
    </w:rPr>
  </w:style>
  <w:style w:type="paragraph" w:customStyle="1" w:styleId="146">
    <w:name w:val="目录 41"/>
    <w:basedOn w:val="1"/>
    <w:next w:val="1"/>
    <w:semiHidden/>
    <w:qFormat/>
    <w:uiPriority w:val="0"/>
    <w:pPr>
      <w:adjustRightInd/>
      <w:spacing w:line="240" w:lineRule="auto"/>
      <w:jc w:val="left"/>
    </w:pPr>
  </w:style>
  <w:style w:type="paragraph" w:customStyle="1" w:styleId="147">
    <w:name w:val="目录 51"/>
    <w:basedOn w:val="1"/>
    <w:next w:val="1"/>
    <w:semiHidden/>
    <w:qFormat/>
    <w:uiPriority w:val="0"/>
    <w:pPr>
      <w:spacing w:line="240" w:lineRule="auto"/>
    </w:pPr>
    <w:rPr>
      <w:rFonts w:ascii="宋体" w:hAnsi="宋体"/>
    </w:rPr>
  </w:style>
  <w:style w:type="paragraph" w:customStyle="1" w:styleId="148">
    <w:name w:val="目录 61"/>
    <w:basedOn w:val="1"/>
    <w:next w:val="1"/>
    <w:semiHidden/>
    <w:qFormat/>
    <w:uiPriority w:val="0"/>
    <w:pPr>
      <w:adjustRightInd/>
      <w:spacing w:line="240" w:lineRule="auto"/>
      <w:jc w:val="left"/>
    </w:pPr>
  </w:style>
  <w:style w:type="paragraph" w:customStyle="1" w:styleId="149">
    <w:name w:val="目录 71"/>
    <w:basedOn w:val="148"/>
    <w:semiHidden/>
    <w:qFormat/>
    <w:uiPriority w:val="0"/>
    <w:pPr>
      <w:ind w:left="1260"/>
    </w:pPr>
  </w:style>
  <w:style w:type="paragraph" w:customStyle="1" w:styleId="150">
    <w:name w:val="目录 81"/>
    <w:basedOn w:val="149"/>
    <w:semiHidden/>
    <w:qFormat/>
    <w:uiPriority w:val="0"/>
    <w:pPr>
      <w:ind w:left="1470"/>
    </w:pPr>
  </w:style>
  <w:style w:type="paragraph" w:customStyle="1" w:styleId="151">
    <w:name w:val="目录 91"/>
    <w:basedOn w:val="150"/>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6"/>
    <w:qFormat/>
    <w:uiPriority w:val="0"/>
    <w:pPr>
      <w:spacing w:before="0" w:beforeLines="0" w:after="0" w:afterLines="0"/>
      <w:outlineLvl w:val="9"/>
    </w:pPr>
    <w:rPr>
      <w:rFonts w:ascii="宋体" w:eastAsia="宋体"/>
    </w:rPr>
  </w:style>
  <w:style w:type="paragraph" w:customStyle="1" w:styleId="167">
    <w:name w:val="标准文件_二级无标题"/>
    <w:basedOn w:val="67"/>
    <w:qFormat/>
    <w:uiPriority w:val="0"/>
    <w:pPr>
      <w:spacing w:before="0" w:beforeLines="0" w:after="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58"/>
    <w:qFormat/>
    <w:uiPriority w:val="0"/>
    <w:pPr>
      <w:numPr>
        <w:ilvl w:val="0"/>
        <w:numId w:val="24"/>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宋体"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30"/>
    <w:semiHidden/>
    <w:qFormat/>
    <w:uiPriority w:val="99"/>
    <w:rPr>
      <w:color w:val="808080"/>
    </w:rPr>
  </w:style>
  <w:style w:type="paragraph" w:customStyle="1" w:styleId="189">
    <w:name w:val="标准文件_二级项2"/>
    <w:basedOn w:val="58"/>
    <w:qFormat/>
    <w:uiPriority w:val="0"/>
    <w:pPr>
      <w:numPr>
        <w:ilvl w:val="1"/>
        <w:numId w:val="21"/>
      </w:numPr>
      <w:ind w:firstLine="0" w:firstLineChars="0"/>
    </w:pPr>
  </w:style>
  <w:style w:type="paragraph" w:customStyle="1" w:styleId="190">
    <w:name w:val="标准文件_三级项2"/>
    <w:basedOn w:val="58"/>
    <w:qFormat/>
    <w:uiPriority w:val="0"/>
    <w:pPr>
      <w:numPr>
        <w:ilvl w:val="0"/>
        <w:numId w:val="30"/>
      </w:numPr>
      <w:spacing w:line="300" w:lineRule="exact"/>
      <w:ind w:firstLineChars="0"/>
    </w:pPr>
    <w:rPr>
      <w:rFonts w:ascii="Times New Roman"/>
    </w:rPr>
  </w:style>
  <w:style w:type="paragraph" w:customStyle="1" w:styleId="191">
    <w:name w:val="标准文件_一级项2"/>
    <w:basedOn w:val="58"/>
    <w:qFormat/>
    <w:uiPriority w:val="0"/>
    <w:pPr>
      <w:numPr>
        <w:ilvl w:val="0"/>
        <w:numId w:val="31"/>
      </w:numPr>
      <w:spacing w:line="300" w:lineRule="exact"/>
      <w:ind w:firstLineChars="0"/>
    </w:pPr>
    <w:rPr>
      <w:rFonts w:ascii="Times New Roman"/>
    </w:r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30"/>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wrap="around" w:vAnchor="page" w:hAnchor="page" w:x="1419" w:y="14097"/>
    </w:pPr>
  </w:style>
  <w:style w:type="paragraph" w:customStyle="1" w:styleId="196">
    <w:name w:val="其他实施日期"/>
    <w:basedOn w:val="156"/>
    <w:qFormat/>
    <w:uiPriority w:val="0"/>
    <w:pPr>
      <w:framePr w:w="3997" w:h="471" w:hRule="exact" w:vSpace="181" w:wrap="around" w:vAnchor="page" w:hAnchor="page" w:x="7089" w:y="14097"/>
    </w:pPr>
  </w:style>
  <w:style w:type="paragraph" w:customStyle="1" w:styleId="197">
    <w:name w:val="标准文件_文件编号"/>
    <w:basedOn w:val="58"/>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framePr w:wrap="around"/>
      <w:spacing w:before="57"/>
    </w:pPr>
    <w:rPr>
      <w:sz w:val="21"/>
    </w:rPr>
  </w:style>
  <w:style w:type="paragraph" w:customStyle="1" w:styleId="199">
    <w:name w:val="标准文件_文件名称"/>
    <w:basedOn w:val="58"/>
    <w:next w:val="58"/>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30"/>
    <w:qFormat/>
    <w:uiPriority w:val="0"/>
    <w:rPr>
      <w:rFonts w:ascii="黑体" w:eastAsia="黑体"/>
      <w:spacing w:val="85"/>
      <w:w w:val="100"/>
      <w:position w:val="3"/>
      <w:sz w:val="28"/>
      <w:szCs w:val="28"/>
    </w:rPr>
  </w:style>
  <w:style w:type="character" w:customStyle="1" w:styleId="232">
    <w:name w:val="HTML 预设格式 字符"/>
    <w:basedOn w:val="30"/>
    <w:link w:val="25"/>
    <w:qFormat/>
    <w:uiPriority w:val="99"/>
    <w:rPr>
      <w:rFonts w:ascii="宋体" w:hAnsi="宋体"/>
      <w:sz w:val="24"/>
      <w:szCs w:val="24"/>
    </w:rPr>
  </w:style>
  <w:style w:type="paragraph" w:customStyle="1" w:styleId="233">
    <w:name w:val="二级条标题"/>
    <w:basedOn w:val="234"/>
    <w:next w:val="235"/>
    <w:qFormat/>
    <w:uiPriority w:val="0"/>
    <w:pPr>
      <w:numPr>
        <w:ilvl w:val="2"/>
      </w:numPr>
      <w:spacing w:before="50" w:after="50"/>
      <w:outlineLvl w:val="3"/>
    </w:pPr>
  </w:style>
  <w:style w:type="paragraph" w:customStyle="1" w:styleId="234">
    <w:name w:val="一级条标题"/>
    <w:next w:val="235"/>
    <w:qFormat/>
    <w:uiPriority w:val="0"/>
    <w:pPr>
      <w:numPr>
        <w:ilvl w:val="1"/>
        <w:numId w:val="3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35">
    <w:name w:val="段"/>
    <w:qFormat/>
    <w:uiPriority w:val="0"/>
    <w:pPr>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glossaryDocument" Target="glossary/document.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image" Target="media/image1.tiff"/><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7A3E6B111CB405A91F63334C8205AF5"/>
        <w:style w:val=""/>
        <w:category>
          <w:name w:val="常规"/>
          <w:gallery w:val="placeholder"/>
        </w:category>
        <w:types>
          <w:type w:val="bbPlcHdr"/>
        </w:types>
        <w:behaviors>
          <w:behavior w:val="content"/>
        </w:behaviors>
        <w:description w:val=""/>
        <w:guid w:val="{7F508BCC-2326-4885-9EFE-7B77139EC23F}"/>
      </w:docPartPr>
      <w:docPartBody>
        <w:p>
          <w:pPr>
            <w:pStyle w:val="5"/>
          </w:pPr>
          <w:r>
            <w:rPr>
              <w:rStyle w:val="4"/>
              <w:rFonts w:hint="eastAsia"/>
            </w:rPr>
            <w:t>单击或点击此处输入文字。</w:t>
          </w:r>
        </w:p>
      </w:docPartBody>
    </w:docPart>
    <w:docPart>
      <w:docPartPr>
        <w:name w:val="FC53762C22A14969941ACE45E4885C61"/>
        <w:style w:val=""/>
        <w:category>
          <w:name w:val="常规"/>
          <w:gallery w:val="placeholder"/>
        </w:category>
        <w:types>
          <w:type w:val="bbPlcHdr"/>
        </w:types>
        <w:behaviors>
          <w:behavior w:val="content"/>
        </w:behaviors>
        <w:description w:val=""/>
        <w:guid w:val="{56F8FA36-340A-4654-A681-F437AA4F4A30}"/>
      </w:docPartPr>
      <w:docPartBody>
        <w:p>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2AC"/>
    <w:rsid w:val="000A042F"/>
    <w:rsid w:val="00244B81"/>
    <w:rsid w:val="002A2AF0"/>
    <w:rsid w:val="002C13B5"/>
    <w:rsid w:val="0030573A"/>
    <w:rsid w:val="0034102A"/>
    <w:rsid w:val="003B7901"/>
    <w:rsid w:val="0057163F"/>
    <w:rsid w:val="00593636"/>
    <w:rsid w:val="006642AC"/>
    <w:rsid w:val="006A42B3"/>
    <w:rsid w:val="00812637"/>
    <w:rsid w:val="00933313"/>
    <w:rsid w:val="009C08A1"/>
    <w:rsid w:val="00BD7B97"/>
    <w:rsid w:val="00CD4155"/>
    <w:rsid w:val="00CF3F0C"/>
    <w:rsid w:val="00D343E0"/>
    <w:rsid w:val="00E86ACB"/>
    <w:rsid w:val="00ED49C9"/>
    <w:rsid w:val="00EE4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7A3E6B111CB405A91F63334C8205AF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C53762C22A14969941ACE45E4885C61"/>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6</Pages>
  <Words>1744</Words>
  <Characters>1832</Characters>
  <Lines>33</Lines>
  <Paragraphs>9</Paragraphs>
  <TotalTime>3</TotalTime>
  <ScaleCrop>false</ScaleCrop>
  <LinksUpToDate>false</LinksUpToDate>
  <CharactersWithSpaces>2030</CharactersWithSpaces>
  <Application>WPS Office_11.8.2.8876_F1E327BC-269C-435d-A152-05C5408002CA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2022-11-14T05:07:00Z</dcterms:created>
  <dc:creator>Micorosoft</dc:creator>
  <dc:description>&lt;config cover="true" show_menu="true" version="1.0.0" doctype="SDKXY"&gt;_x000d_
&lt;/config&gt;</dc:description>
  <cp:lastModifiedBy>Administrator</cp:lastModifiedBy>
  <cp:lastPrinted>2020-08-30T18:00:00Z</cp:lastPrinted>
  <dcterms:modified xsi:type="dcterms:W3CDTF">2023-07-26T03:10:35Z</dcterms:modified>
  <dc:title>地方标准</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3</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2052-11.8.2.8876</vt:lpwstr>
  </property>
  <property fmtid="{D5CDD505-2E9C-101B-9397-08002B2CF9AE}" pid="15" name="ICV">
    <vt:lpwstr>0619890D7E774FD28F37EFD97962DE6D</vt:lpwstr>
  </property>
</Properties>
</file>