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096B7B">
      <w:pPr>
        <w:keepNext w:val="0"/>
        <w:keepLines w:val="0"/>
        <w:pageBreakBefore w:val="0"/>
        <w:widowControl w:val="0"/>
        <w:shd w:val="clear"/>
        <w:kinsoku/>
        <w:wordWrap/>
        <w:overflowPunct/>
        <w:topLinePunct w:val="0"/>
        <w:autoSpaceDE/>
        <w:autoSpaceDN/>
        <w:bidi w:val="0"/>
        <w:adjustRightInd/>
        <w:snapToGrid w:val="0"/>
        <w:spacing w:line="240" w:lineRule="auto"/>
        <w:jc w:val="center"/>
        <w:textAlignment w:val="auto"/>
        <w:rPr>
          <w:rFonts w:hint="eastAsia" w:asciiTheme="minorEastAsia" w:hAnsiTheme="minorEastAsia" w:cstheme="minorEastAsia"/>
          <w:b/>
          <w:bCs/>
          <w:color w:val="auto"/>
          <w:kern w:val="0"/>
          <w:sz w:val="44"/>
          <w:szCs w:val="44"/>
          <w:lang w:eastAsia="zh-CN"/>
        </w:rPr>
      </w:pPr>
      <w:r>
        <w:rPr>
          <w:rFonts w:hint="eastAsia" w:asciiTheme="minorEastAsia" w:hAnsiTheme="minorEastAsia" w:cstheme="minorEastAsia"/>
          <w:b/>
          <w:bCs/>
          <w:color w:val="auto"/>
          <w:kern w:val="0"/>
          <w:sz w:val="44"/>
          <w:szCs w:val="44"/>
          <w:lang w:eastAsia="zh-CN"/>
        </w:rPr>
        <w:t>2025年丽水职业技术学院公款竞争性存放项目</w:t>
      </w:r>
    </w:p>
    <w:p w14:paraId="3AF2C2D7">
      <w:pPr>
        <w:keepNext w:val="0"/>
        <w:keepLines w:val="0"/>
        <w:pageBreakBefore w:val="0"/>
        <w:widowControl w:val="0"/>
        <w:shd w:val="clear"/>
        <w:kinsoku/>
        <w:wordWrap/>
        <w:overflowPunct/>
        <w:topLinePunct w:val="0"/>
        <w:autoSpaceDE/>
        <w:autoSpaceDN/>
        <w:bidi w:val="0"/>
        <w:adjustRightInd/>
        <w:snapToGrid w:val="0"/>
        <w:spacing w:line="240" w:lineRule="auto"/>
        <w:jc w:val="center"/>
        <w:textAlignment w:val="auto"/>
        <w:rPr>
          <w:rFonts w:hint="eastAsia" w:asciiTheme="minorEastAsia" w:hAnsiTheme="minorEastAsia" w:eastAsiaTheme="minorEastAsia" w:cstheme="minorEastAsia"/>
          <w:color w:val="auto"/>
          <w:kern w:val="0"/>
          <w:sz w:val="44"/>
          <w:szCs w:val="44"/>
        </w:rPr>
      </w:pPr>
      <w:r>
        <w:rPr>
          <w:rFonts w:hint="eastAsia" w:asciiTheme="minorEastAsia" w:hAnsiTheme="minorEastAsia" w:eastAsiaTheme="minorEastAsia" w:cstheme="minorEastAsia"/>
          <w:b/>
          <w:bCs/>
          <w:color w:val="auto"/>
          <w:kern w:val="0"/>
          <w:sz w:val="44"/>
          <w:szCs w:val="44"/>
        </w:rPr>
        <w:t>中标公告</w:t>
      </w:r>
    </w:p>
    <w:p w14:paraId="252CA676">
      <w:pPr>
        <w:keepNext w:val="0"/>
        <w:keepLines w:val="0"/>
        <w:pageBreakBefore w:val="0"/>
        <w:widowControl/>
        <w:kinsoku/>
        <w:wordWrap/>
        <w:overflowPunct/>
        <w:topLinePunct w:val="0"/>
        <w:autoSpaceDE/>
        <w:autoSpaceDN/>
        <w:bidi w:val="0"/>
        <w:adjustRightInd/>
        <w:snapToGrid/>
        <w:spacing w:line="264" w:lineRule="auto"/>
        <w:ind w:right="-57" w:rightChars="-27" w:firstLine="720" w:firstLineChars="300"/>
        <w:jc w:val="both"/>
        <w:textAlignment w:val="auto"/>
        <w:rPr>
          <w:rFonts w:hint="eastAsia" w:ascii="仿宋_GB2312" w:hAnsi="宋体" w:eastAsia="仿宋_GB2312" w:cs="宋体"/>
          <w:color w:val="auto"/>
          <w:kern w:val="0"/>
          <w:sz w:val="24"/>
          <w:szCs w:val="24"/>
        </w:rPr>
      </w:pPr>
    </w:p>
    <w:p w14:paraId="6328854A">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卓正招标咨询（浙江）有限公司受丽水职业技术学院的委托，对其公款竞争性存放项目进行招标。于2026年01月09日上午09：00时在卓正招标咨询（浙江）有限公司举行开标会。经招标人确认，现将招标结果及相关事宜公告如下：</w:t>
      </w:r>
    </w:p>
    <w:p w14:paraId="55016E2A">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1.招标编号：卓正丽招2025-1213号</w:t>
      </w:r>
    </w:p>
    <w:p w14:paraId="16B39E6D">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2.项目名称：2025年丽水职业技术学院公款竞争性存放项目</w:t>
      </w:r>
    </w:p>
    <w:p w14:paraId="06EC86D5">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3.招标内容：</w:t>
      </w:r>
      <w:bookmarkStart w:id="0" w:name="_Toc31082"/>
      <w:bookmarkStart w:id="1" w:name="_Toc14070"/>
    </w:p>
    <w:bookmarkEnd w:id="0"/>
    <w:bookmarkEnd w:id="1"/>
    <w:p w14:paraId="36B954A2">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丽水职业技术学院</w:t>
      </w:r>
      <w:r>
        <w:rPr>
          <w:rFonts w:hint="eastAsia" w:ascii="宋体" w:hAnsi="宋体" w:eastAsia="宋体" w:cs="宋体"/>
          <w:color w:val="000000"/>
          <w:sz w:val="24"/>
          <w:szCs w:val="24"/>
          <w:lang w:val="zh-CN" w:eastAsia="zh-CN"/>
        </w:rPr>
        <w:t>计划总招标规模约</w:t>
      </w:r>
      <w:r>
        <w:rPr>
          <w:rFonts w:hint="eastAsia" w:ascii="宋体" w:hAnsi="宋体" w:eastAsia="宋体" w:cs="宋体"/>
          <w:color w:val="000000"/>
          <w:sz w:val="24"/>
          <w:szCs w:val="24"/>
          <w:lang w:val="en-US" w:eastAsia="zh-CN"/>
        </w:rPr>
        <w:t>2500万元</w:t>
      </w:r>
      <w:r>
        <w:rPr>
          <w:rFonts w:hint="eastAsia" w:ascii="宋体" w:hAnsi="宋体" w:eastAsia="宋体" w:cs="宋体"/>
          <w:color w:val="000000"/>
          <w:sz w:val="24"/>
          <w:szCs w:val="24"/>
          <w:lang w:val="zh-CN" w:eastAsia="zh-CN"/>
        </w:rPr>
        <w:t>，合同签订后以实际转存到位情况为准。</w:t>
      </w:r>
      <w:r>
        <w:rPr>
          <w:rFonts w:hint="eastAsia" w:ascii="宋体" w:hAnsi="宋体" w:eastAsia="宋体" w:cs="宋体"/>
          <w:color w:val="000000"/>
          <w:sz w:val="24"/>
          <w:szCs w:val="24"/>
          <w:lang w:val="en-US" w:eastAsia="zh-CN"/>
        </w:rPr>
        <w:t>服务期限为一年，定期</w:t>
      </w:r>
      <w:r>
        <w:rPr>
          <w:rFonts w:hint="eastAsia" w:ascii="宋体" w:hAnsi="宋体" w:eastAsia="宋体" w:cs="宋体"/>
          <w:color w:val="000000"/>
          <w:sz w:val="24"/>
          <w:szCs w:val="24"/>
          <w:lang w:val="zh-CN" w:eastAsia="zh-CN"/>
        </w:rPr>
        <w:t>存款期限为3个月定期存款、6个月定期存款、1年期定期</w:t>
      </w:r>
      <w:r>
        <w:rPr>
          <w:rFonts w:hint="eastAsia" w:ascii="宋体" w:hAnsi="宋体" w:eastAsia="宋体" w:cs="宋体"/>
          <w:color w:val="000000"/>
          <w:sz w:val="24"/>
          <w:szCs w:val="24"/>
          <w:lang w:val="en-US" w:eastAsia="zh-CN"/>
        </w:rPr>
        <w:t>存款；如人民银行公布的定期存款基准利率有变动，则根据变动后基准存款利率按本次投标相同基准加点模式确定存款利率。丽水职业技术学院资金存放分配原则</w:t>
      </w:r>
      <w:r>
        <w:rPr>
          <w:rFonts w:hint="eastAsia" w:ascii="宋体" w:hAnsi="宋体" w:eastAsia="宋体" w:cs="宋体"/>
          <w:color w:val="000000"/>
          <w:sz w:val="24"/>
          <w:szCs w:val="24"/>
          <w:lang w:val="zh-CN" w:eastAsia="zh-CN"/>
        </w:rPr>
        <w:t>按综合得分由高到低顺序排列</w:t>
      </w:r>
      <w:r>
        <w:rPr>
          <w:rFonts w:hint="eastAsia" w:ascii="宋体" w:hAnsi="宋体" w:eastAsia="宋体" w:cs="宋体"/>
          <w:color w:val="000000"/>
          <w:sz w:val="24"/>
          <w:szCs w:val="24"/>
          <w:lang w:val="en-US" w:eastAsia="zh-CN"/>
        </w:rPr>
        <w:t>前2名为中标单位，第一名获得总招标资金60%的存放资格</w:t>
      </w:r>
      <w:r>
        <w:rPr>
          <w:rFonts w:hint="eastAsia" w:ascii="宋体" w:hAnsi="宋体" w:eastAsia="宋体" w:cs="宋体"/>
          <w:color w:val="000000"/>
          <w:sz w:val="24"/>
          <w:szCs w:val="24"/>
          <w:lang w:val="zh-CN" w:eastAsia="zh-CN"/>
        </w:rPr>
        <w:t>。</w:t>
      </w:r>
      <w:r>
        <w:rPr>
          <w:rFonts w:hint="eastAsia" w:ascii="宋体" w:hAnsi="宋体" w:eastAsia="宋体" w:cs="宋体"/>
          <w:color w:val="000000"/>
          <w:sz w:val="24"/>
          <w:szCs w:val="24"/>
          <w:lang w:val="en-US" w:eastAsia="zh-CN"/>
        </w:rPr>
        <w:t>第二名获得总招标资金40%的存放资格</w:t>
      </w:r>
      <w:r>
        <w:rPr>
          <w:rFonts w:hint="eastAsia" w:ascii="宋体" w:hAnsi="宋体" w:eastAsia="宋体" w:cs="宋体"/>
          <w:color w:val="000000"/>
          <w:sz w:val="24"/>
          <w:szCs w:val="24"/>
          <w:lang w:val="zh-CN" w:eastAsia="zh-CN"/>
        </w:rPr>
        <w:t>。</w:t>
      </w:r>
      <w:r>
        <w:rPr>
          <w:rFonts w:hint="eastAsia" w:ascii="宋体" w:hAnsi="宋体" w:eastAsia="宋体" w:cs="宋体"/>
          <w:color w:val="000000"/>
          <w:sz w:val="24"/>
          <w:szCs w:val="24"/>
          <w:lang w:val="en-US" w:eastAsia="zh-CN"/>
        </w:rPr>
        <w:t>具体金额如下：</w:t>
      </w:r>
    </w:p>
    <w:p w14:paraId="2BE7801D">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lang w:val="en-US" w:eastAsia="zh-CN"/>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2"/>
        <w:gridCol w:w="5837"/>
      </w:tblGrid>
      <w:tr w14:paraId="406C4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22" w:type="dxa"/>
            <w:noWrap w:val="0"/>
            <w:vAlign w:val="center"/>
          </w:tcPr>
          <w:p w14:paraId="625D2470">
            <w:pPr>
              <w:keepNext w:val="0"/>
              <w:keepLines w:val="0"/>
              <w:pageBreakBefore w:val="0"/>
              <w:widowControl w:val="0"/>
              <w:kinsoku/>
              <w:wordWrap w:val="0"/>
              <w:overflowPunct/>
              <w:topLinePunct w:val="0"/>
              <w:autoSpaceDE/>
              <w:autoSpaceDN/>
              <w:bidi w:val="0"/>
              <w:adjustRightInd/>
              <w:snapToGrid w:val="0"/>
              <w:spacing w:line="360" w:lineRule="auto"/>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排名</w:t>
            </w:r>
          </w:p>
        </w:tc>
        <w:tc>
          <w:tcPr>
            <w:tcW w:w="5837" w:type="dxa"/>
            <w:noWrap w:val="0"/>
            <w:vAlign w:val="center"/>
          </w:tcPr>
          <w:p w14:paraId="4CC925AA">
            <w:pPr>
              <w:keepNext w:val="0"/>
              <w:keepLines w:val="0"/>
              <w:pageBreakBefore w:val="0"/>
              <w:widowControl w:val="0"/>
              <w:kinsoku/>
              <w:wordWrap w:val="0"/>
              <w:overflowPunct/>
              <w:topLinePunct w:val="0"/>
              <w:autoSpaceDE/>
              <w:autoSpaceDN/>
              <w:bidi w:val="0"/>
              <w:adjustRightInd/>
              <w:snapToGrid w:val="0"/>
              <w:spacing w:line="360" w:lineRule="auto"/>
              <w:ind w:firstLine="51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预估存放金额（万元）</w:t>
            </w:r>
          </w:p>
        </w:tc>
      </w:tr>
      <w:tr w14:paraId="374F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22" w:type="dxa"/>
            <w:noWrap w:val="0"/>
            <w:vAlign w:val="center"/>
          </w:tcPr>
          <w:p w14:paraId="4FEAB181">
            <w:pPr>
              <w:keepNext w:val="0"/>
              <w:keepLines w:val="0"/>
              <w:pageBreakBefore w:val="0"/>
              <w:widowControl w:val="0"/>
              <w:kinsoku/>
              <w:wordWrap w:val="0"/>
              <w:overflowPunct/>
              <w:topLinePunct w:val="0"/>
              <w:autoSpaceDE/>
              <w:autoSpaceDN/>
              <w:bidi w:val="0"/>
              <w:adjustRightInd/>
              <w:snapToGrid w:val="0"/>
              <w:spacing w:line="360" w:lineRule="auto"/>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p>
        </w:tc>
        <w:tc>
          <w:tcPr>
            <w:tcW w:w="5837" w:type="dxa"/>
            <w:noWrap w:val="0"/>
            <w:vAlign w:val="center"/>
          </w:tcPr>
          <w:p w14:paraId="6AB331D9">
            <w:pPr>
              <w:keepNext w:val="0"/>
              <w:keepLines w:val="0"/>
              <w:pageBreakBefore w:val="0"/>
              <w:widowControl w:val="0"/>
              <w:kinsoku/>
              <w:wordWrap w:val="0"/>
              <w:overflowPunct/>
              <w:topLinePunct w:val="0"/>
              <w:autoSpaceDE/>
              <w:autoSpaceDN/>
              <w:bidi w:val="0"/>
              <w:adjustRightInd/>
              <w:snapToGrid w:val="0"/>
              <w:spacing w:line="360" w:lineRule="auto"/>
              <w:ind w:firstLine="510"/>
              <w:jc w:val="center"/>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1500</w:t>
            </w:r>
          </w:p>
        </w:tc>
      </w:tr>
      <w:tr w14:paraId="2819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22" w:type="dxa"/>
            <w:noWrap w:val="0"/>
            <w:vAlign w:val="center"/>
          </w:tcPr>
          <w:p w14:paraId="60529768">
            <w:pPr>
              <w:keepNext w:val="0"/>
              <w:keepLines w:val="0"/>
              <w:pageBreakBefore w:val="0"/>
              <w:widowControl w:val="0"/>
              <w:kinsoku/>
              <w:wordWrap w:val="0"/>
              <w:overflowPunct/>
              <w:topLinePunct w:val="0"/>
              <w:autoSpaceDE/>
              <w:autoSpaceDN/>
              <w:bidi w:val="0"/>
              <w:adjustRightInd/>
              <w:snapToGrid w:val="0"/>
              <w:spacing w:line="360" w:lineRule="auto"/>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c>
          <w:tcPr>
            <w:tcW w:w="5837" w:type="dxa"/>
            <w:noWrap w:val="0"/>
            <w:vAlign w:val="center"/>
          </w:tcPr>
          <w:p w14:paraId="506D7E80">
            <w:pPr>
              <w:keepNext w:val="0"/>
              <w:keepLines w:val="0"/>
              <w:pageBreakBefore w:val="0"/>
              <w:widowControl w:val="0"/>
              <w:kinsoku/>
              <w:wordWrap w:val="0"/>
              <w:overflowPunct/>
              <w:topLinePunct w:val="0"/>
              <w:autoSpaceDE/>
              <w:autoSpaceDN/>
              <w:bidi w:val="0"/>
              <w:adjustRightInd/>
              <w:snapToGrid w:val="0"/>
              <w:spacing w:line="360" w:lineRule="auto"/>
              <w:ind w:firstLine="510"/>
              <w:jc w:val="center"/>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1000</w:t>
            </w:r>
          </w:p>
        </w:tc>
      </w:tr>
      <w:tr w14:paraId="27C5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22" w:type="dxa"/>
            <w:noWrap w:val="0"/>
            <w:vAlign w:val="center"/>
          </w:tcPr>
          <w:p w14:paraId="04F7994C">
            <w:pPr>
              <w:keepNext w:val="0"/>
              <w:keepLines w:val="0"/>
              <w:pageBreakBefore w:val="0"/>
              <w:widowControl w:val="0"/>
              <w:kinsoku/>
              <w:wordWrap w:val="0"/>
              <w:overflowPunct/>
              <w:topLinePunct w:val="0"/>
              <w:autoSpaceDE/>
              <w:autoSpaceDN/>
              <w:bidi w:val="0"/>
              <w:adjustRightInd/>
              <w:snapToGrid w:val="0"/>
              <w:spacing w:line="360" w:lineRule="auto"/>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合计</w:t>
            </w:r>
          </w:p>
        </w:tc>
        <w:tc>
          <w:tcPr>
            <w:tcW w:w="5837" w:type="dxa"/>
            <w:noWrap w:val="0"/>
            <w:vAlign w:val="center"/>
          </w:tcPr>
          <w:p w14:paraId="63D4D672">
            <w:pPr>
              <w:keepNext w:val="0"/>
              <w:keepLines w:val="0"/>
              <w:pageBreakBefore w:val="0"/>
              <w:widowControl w:val="0"/>
              <w:kinsoku/>
              <w:wordWrap w:val="0"/>
              <w:overflowPunct/>
              <w:topLinePunct w:val="0"/>
              <w:autoSpaceDE/>
              <w:autoSpaceDN/>
              <w:bidi w:val="0"/>
              <w:adjustRightInd/>
              <w:snapToGrid w:val="0"/>
              <w:spacing w:line="360" w:lineRule="auto"/>
              <w:ind w:firstLine="510"/>
              <w:jc w:val="center"/>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2500</w:t>
            </w:r>
          </w:p>
        </w:tc>
      </w:tr>
    </w:tbl>
    <w:p w14:paraId="25A007C5">
      <w:pPr>
        <w:snapToGrid w:val="0"/>
        <w:spacing w:line="360" w:lineRule="auto"/>
        <w:ind w:firstLine="510"/>
        <w:rPr>
          <w:rFonts w:hint="eastAsia" w:ascii="宋体" w:hAnsi="宋体"/>
          <w:sz w:val="24"/>
        </w:rPr>
      </w:pPr>
      <w:r>
        <w:rPr>
          <w:rFonts w:hint="eastAsia" w:ascii="宋体" w:hAnsi="宋体"/>
          <w:sz w:val="24"/>
        </w:rPr>
        <w:t>（具体内容和相关要求详见招标文件第三章）</w:t>
      </w:r>
    </w:p>
    <w:p w14:paraId="1DCF2048">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4.招标单位：丽水市丽水职业技术学院</w:t>
      </w:r>
    </w:p>
    <w:p w14:paraId="688D1BFE">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5.中标人、3个月定期存款利率较基准利率加点值（bp）、6个月定期存款利率较基准利率加点值（bp）、1年定期存款利率较基准利率加点值（bp）：</w:t>
      </w:r>
    </w:p>
    <w:tbl>
      <w:tblPr>
        <w:tblStyle w:val="10"/>
        <w:tblW w:w="9622"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2516"/>
        <w:gridCol w:w="1600"/>
        <w:gridCol w:w="1584"/>
        <w:gridCol w:w="1783"/>
        <w:gridCol w:w="1533"/>
      </w:tblGrid>
      <w:tr w14:paraId="096E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6" w:type="dxa"/>
            <w:noWrap w:val="0"/>
            <w:vAlign w:val="center"/>
          </w:tcPr>
          <w:p w14:paraId="1290DBAD">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名次</w:t>
            </w:r>
          </w:p>
        </w:tc>
        <w:tc>
          <w:tcPr>
            <w:tcW w:w="2516" w:type="dxa"/>
            <w:noWrap w:val="0"/>
            <w:vAlign w:val="center"/>
          </w:tcPr>
          <w:p w14:paraId="2E9D4C35">
            <w:pPr>
              <w:pStyle w:val="2"/>
              <w:keepNext w:val="0"/>
              <w:keepLines w:val="0"/>
              <w:pageBreakBefore w:val="0"/>
              <w:widowControl w:val="0"/>
              <w:kinsoku/>
              <w:overflowPunct/>
              <w:topLinePunct w:val="0"/>
              <w:autoSpaceDE/>
              <w:autoSpaceDN/>
              <w:bidi w:val="0"/>
              <w:adjustRightInd/>
              <w:spacing w:line="240" w:lineRule="auto"/>
              <w:ind w:firstLine="240" w:firstLineChars="10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中标银行</w:t>
            </w:r>
          </w:p>
        </w:tc>
        <w:tc>
          <w:tcPr>
            <w:tcW w:w="1600" w:type="dxa"/>
            <w:noWrap w:val="0"/>
            <w:vAlign w:val="center"/>
          </w:tcPr>
          <w:p w14:paraId="3E96FAE2">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color w:val="000000"/>
                <w:sz w:val="24"/>
                <w:szCs w:val="24"/>
                <w:lang w:val="en-US" w:eastAsia="zh-CN"/>
              </w:rPr>
              <w:t>3个月定期存款利率较基准利率加点值（bp）</w:t>
            </w:r>
          </w:p>
        </w:tc>
        <w:tc>
          <w:tcPr>
            <w:tcW w:w="1584" w:type="dxa"/>
            <w:noWrap w:val="0"/>
            <w:vAlign w:val="center"/>
          </w:tcPr>
          <w:p w14:paraId="066A7004">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color w:val="000000"/>
                <w:sz w:val="24"/>
                <w:szCs w:val="24"/>
                <w:lang w:val="en-US" w:eastAsia="zh-CN"/>
              </w:rPr>
              <w:t>6个月定期存款利率较基准利率加点值（bp）</w:t>
            </w:r>
          </w:p>
        </w:tc>
        <w:tc>
          <w:tcPr>
            <w:tcW w:w="1783" w:type="dxa"/>
            <w:noWrap w:val="0"/>
            <w:vAlign w:val="center"/>
          </w:tcPr>
          <w:p w14:paraId="00DEC1A1">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color w:val="000000"/>
                <w:sz w:val="24"/>
                <w:szCs w:val="24"/>
                <w:lang w:val="en-US" w:eastAsia="zh-CN"/>
              </w:rPr>
              <w:t>1年定期存款利率较基准利率加点值（bp）</w:t>
            </w:r>
          </w:p>
        </w:tc>
        <w:tc>
          <w:tcPr>
            <w:tcW w:w="1533" w:type="dxa"/>
            <w:noWrap w:val="0"/>
            <w:vAlign w:val="center"/>
          </w:tcPr>
          <w:p w14:paraId="2DB484B9">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sz w:val="24"/>
                <w:szCs w:val="24"/>
                <w:vertAlign w:val="baseline"/>
                <w:lang w:val="en-US" w:eastAsia="zh-CN"/>
              </w:rPr>
              <w:t>中标存款额（万元）</w:t>
            </w:r>
          </w:p>
        </w:tc>
      </w:tr>
      <w:tr w14:paraId="50CA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6" w:type="dxa"/>
            <w:noWrap w:val="0"/>
            <w:vAlign w:val="center"/>
          </w:tcPr>
          <w:p w14:paraId="2A4753D6">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2516" w:type="dxa"/>
            <w:noWrap w:val="0"/>
            <w:vAlign w:val="center"/>
          </w:tcPr>
          <w:p w14:paraId="74D2B46B">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中国工商银行股份有限公司丽水分行</w:t>
            </w:r>
          </w:p>
        </w:tc>
        <w:tc>
          <w:tcPr>
            <w:tcW w:w="1600" w:type="dxa"/>
            <w:noWrap w:val="0"/>
            <w:vAlign w:val="center"/>
          </w:tcPr>
          <w:p w14:paraId="3A262F94">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tc>
        <w:tc>
          <w:tcPr>
            <w:tcW w:w="1584" w:type="dxa"/>
            <w:noWrap w:val="0"/>
            <w:vAlign w:val="center"/>
          </w:tcPr>
          <w:p w14:paraId="1FB75575">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tc>
        <w:tc>
          <w:tcPr>
            <w:tcW w:w="1783" w:type="dxa"/>
            <w:noWrap w:val="0"/>
            <w:vAlign w:val="center"/>
          </w:tcPr>
          <w:p w14:paraId="0291AA72">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-40</w:t>
            </w:r>
          </w:p>
        </w:tc>
        <w:tc>
          <w:tcPr>
            <w:tcW w:w="1533" w:type="dxa"/>
            <w:noWrap w:val="0"/>
            <w:vAlign w:val="center"/>
          </w:tcPr>
          <w:p w14:paraId="5EE35646">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1500.00</w:t>
            </w:r>
          </w:p>
        </w:tc>
      </w:tr>
      <w:tr w14:paraId="7E45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06" w:type="dxa"/>
            <w:noWrap w:val="0"/>
            <w:vAlign w:val="center"/>
          </w:tcPr>
          <w:p w14:paraId="1B98DAA1">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2516" w:type="dxa"/>
            <w:noWrap w:val="0"/>
            <w:vAlign w:val="center"/>
          </w:tcPr>
          <w:p w14:paraId="5DB8770B">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中国建设银行股份有限公司丽水分行</w:t>
            </w:r>
          </w:p>
        </w:tc>
        <w:tc>
          <w:tcPr>
            <w:tcW w:w="1600" w:type="dxa"/>
            <w:noWrap w:val="0"/>
            <w:vAlign w:val="center"/>
          </w:tcPr>
          <w:p w14:paraId="166D40CB">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tc>
        <w:tc>
          <w:tcPr>
            <w:tcW w:w="1584" w:type="dxa"/>
            <w:noWrap w:val="0"/>
            <w:vAlign w:val="center"/>
          </w:tcPr>
          <w:p w14:paraId="73A7D0FD">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tc>
        <w:tc>
          <w:tcPr>
            <w:tcW w:w="1783" w:type="dxa"/>
            <w:noWrap w:val="0"/>
            <w:vAlign w:val="center"/>
          </w:tcPr>
          <w:p w14:paraId="07EAEE73">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-40</w:t>
            </w:r>
          </w:p>
        </w:tc>
        <w:tc>
          <w:tcPr>
            <w:tcW w:w="1533" w:type="dxa"/>
            <w:noWrap w:val="0"/>
            <w:vAlign w:val="center"/>
          </w:tcPr>
          <w:p w14:paraId="7C1BFB99">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1000.00</w:t>
            </w:r>
          </w:p>
        </w:tc>
      </w:tr>
    </w:tbl>
    <w:p w14:paraId="79B0C3C4">
      <w:pPr>
        <w:keepNext w:val="0"/>
        <w:keepLines w:val="0"/>
        <w:pageBreakBefore w:val="0"/>
        <w:widowControl w:val="0"/>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6.合格投标人：</w:t>
      </w: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lang w:eastAsia="zh-CN"/>
        </w:rPr>
        <w:t>家</w:t>
      </w:r>
    </w:p>
    <w:p w14:paraId="5353B523">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lang w:eastAsia="zh-CN"/>
        </w:rPr>
        <w:t>7.评</w:t>
      </w:r>
      <w:r>
        <w:rPr>
          <w:rFonts w:hint="eastAsia" w:ascii="宋体" w:hAnsi="宋体" w:eastAsia="宋体" w:cs="宋体"/>
          <w:color w:val="000000"/>
          <w:sz w:val="24"/>
          <w:szCs w:val="24"/>
          <w:highlight w:val="none"/>
          <w:lang w:val="en-US" w:eastAsia="zh-CN"/>
        </w:rPr>
        <w:t>标方式：综合评分法</w:t>
      </w:r>
    </w:p>
    <w:p w14:paraId="6C1EF6E7">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pacing w:val="-11"/>
          <w:sz w:val="24"/>
          <w:szCs w:val="24"/>
          <w:highlight w:val="none"/>
          <w:lang w:val="en-US" w:eastAsia="zh-CN"/>
        </w:rPr>
      </w:pPr>
      <w:r>
        <w:rPr>
          <w:rFonts w:hint="eastAsia" w:ascii="宋体" w:hAnsi="宋体" w:eastAsia="宋体" w:cs="宋体"/>
          <w:color w:val="000000"/>
          <w:sz w:val="24"/>
          <w:szCs w:val="24"/>
          <w:highlight w:val="none"/>
          <w:lang w:val="en-US" w:eastAsia="zh-CN"/>
        </w:rPr>
        <w:t>8.评审小组成员名单：</w:t>
      </w:r>
      <w:r>
        <w:rPr>
          <w:rFonts w:hint="eastAsia" w:ascii="宋体" w:hAnsi="宋体" w:eastAsia="宋体" w:cs="宋体"/>
          <w:color w:val="000000"/>
          <w:spacing w:val="-11"/>
          <w:sz w:val="24"/>
          <w:szCs w:val="24"/>
          <w:highlight w:val="none"/>
          <w:lang w:val="en-US" w:eastAsia="zh-CN"/>
        </w:rPr>
        <w:t>单岚（组长）、杜晓霞、黄艳莉（采购人代表）、潘艺、李城亮</w:t>
      </w:r>
    </w:p>
    <w:p w14:paraId="0C765FCC">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9.招标项目联系人及电话：</w:t>
      </w:r>
    </w:p>
    <w:p w14:paraId="328A9D44">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招标人：丽水市丽水职业技术学院</w:t>
      </w:r>
    </w:p>
    <w:p w14:paraId="081F940E">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项目联系人：樊老师     联系电话：0578-2292367                   </w:t>
      </w:r>
    </w:p>
    <w:p w14:paraId="7A41E5C3">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地址：丽水市莲都区中山街北357号</w:t>
      </w:r>
    </w:p>
    <w:p w14:paraId="42128C02">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招标代理机构：卓正招标咨询（浙江）有</w:t>
      </w:r>
      <w:bookmarkStart w:id="2" w:name="_GoBack"/>
      <w:bookmarkEnd w:id="2"/>
      <w:r>
        <w:rPr>
          <w:rFonts w:hint="eastAsia" w:ascii="宋体" w:hAnsi="宋体" w:eastAsia="宋体" w:cs="宋体"/>
          <w:color w:val="000000"/>
          <w:sz w:val="24"/>
          <w:szCs w:val="24"/>
          <w:highlight w:val="none"/>
          <w:lang w:val="en-US" w:eastAsia="zh-CN"/>
        </w:rPr>
        <w:t>限公司</w:t>
      </w:r>
    </w:p>
    <w:p w14:paraId="55508B09">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联系人：项慧敏、刘培珍      电话：0578-2062917、0578-2062916     </w:t>
      </w:r>
    </w:p>
    <w:p w14:paraId="0C6DBB09">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传真:0578-2062917</w:t>
      </w:r>
    </w:p>
    <w:p w14:paraId="72AC98BF">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地址：丽水市和平路78号艾莱依工业园区2号楼7楼</w:t>
      </w:r>
    </w:p>
    <w:p w14:paraId="4576C0FD">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10.公布媒体：浙江政府采购网（</w:t>
      </w:r>
      <w:r>
        <w:rPr>
          <w:rFonts w:hint="eastAsia" w:ascii="宋体" w:hAnsi="宋体" w:eastAsia="宋体" w:cs="宋体"/>
          <w:color w:val="000000"/>
          <w:sz w:val="24"/>
          <w:szCs w:val="24"/>
          <w:highlight w:val="none"/>
          <w:lang w:val="en-US" w:eastAsia="zh-CN"/>
        </w:rPr>
        <w:fldChar w:fldCharType="begin"/>
      </w:r>
      <w:r>
        <w:rPr>
          <w:rFonts w:hint="eastAsia" w:ascii="宋体" w:hAnsi="宋体" w:eastAsia="宋体" w:cs="宋体"/>
          <w:color w:val="000000"/>
          <w:sz w:val="24"/>
          <w:szCs w:val="24"/>
          <w:highlight w:val="none"/>
          <w:lang w:val="en-US" w:eastAsia="zh-CN"/>
        </w:rPr>
        <w:instrText xml:space="preserve"> HYPERLINK "https://zfcg.czt.zj.gov.cn/" </w:instrText>
      </w:r>
      <w:r>
        <w:rPr>
          <w:rFonts w:hint="eastAsia" w:ascii="宋体" w:hAnsi="宋体" w:eastAsia="宋体" w:cs="宋体"/>
          <w:color w:val="000000"/>
          <w:sz w:val="24"/>
          <w:szCs w:val="24"/>
          <w:highlight w:val="none"/>
          <w:lang w:val="en-US" w:eastAsia="zh-CN"/>
        </w:rPr>
        <w:fldChar w:fldCharType="separate"/>
      </w:r>
      <w:r>
        <w:rPr>
          <w:rFonts w:hint="eastAsia" w:ascii="宋体" w:hAnsi="宋体" w:eastAsia="宋体" w:cs="宋体"/>
          <w:color w:val="000000"/>
          <w:sz w:val="24"/>
          <w:szCs w:val="24"/>
          <w:highlight w:val="none"/>
          <w:lang w:val="en-US" w:eastAsia="zh-CN"/>
        </w:rPr>
        <w:t>https://zfcg.czt.zj.gov.cn/</w:t>
      </w:r>
      <w:r>
        <w:rPr>
          <w:rFonts w:hint="eastAsia" w:ascii="宋体" w:hAnsi="宋体" w:eastAsia="宋体" w:cs="宋体"/>
          <w:color w:val="000000"/>
          <w:sz w:val="24"/>
          <w:szCs w:val="24"/>
          <w:highlight w:val="none"/>
          <w:lang w:val="en-US" w:eastAsia="zh-CN"/>
        </w:rPr>
        <w:fldChar w:fldCharType="end"/>
      </w:r>
      <w:r>
        <w:rPr>
          <w:rFonts w:hint="eastAsia" w:ascii="宋体" w:hAnsi="宋体" w:eastAsia="宋体" w:cs="宋体"/>
          <w:color w:val="000000"/>
          <w:sz w:val="24"/>
          <w:szCs w:val="24"/>
          <w:highlight w:val="none"/>
          <w:lang w:val="en-US" w:eastAsia="zh-CN"/>
        </w:rPr>
        <w:t xml:space="preserve">） </w:t>
      </w:r>
    </w:p>
    <w:p w14:paraId="53BD1A3E">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丽水职业技术学院（</w:t>
      </w:r>
      <w:r>
        <w:rPr>
          <w:rFonts w:hint="eastAsia" w:ascii="宋体" w:hAnsi="宋体" w:eastAsia="宋体" w:cs="宋体"/>
          <w:color w:val="000000"/>
          <w:sz w:val="24"/>
          <w:szCs w:val="24"/>
          <w:highlight w:val="none"/>
          <w:lang w:val="en-US" w:eastAsia="zh-CN"/>
        </w:rPr>
        <w:fldChar w:fldCharType="begin"/>
      </w:r>
      <w:r>
        <w:rPr>
          <w:rFonts w:hint="eastAsia" w:ascii="宋体" w:hAnsi="宋体" w:eastAsia="宋体" w:cs="宋体"/>
          <w:color w:val="000000"/>
          <w:sz w:val="24"/>
          <w:szCs w:val="24"/>
          <w:highlight w:val="none"/>
          <w:lang w:val="en-US" w:eastAsia="zh-CN"/>
        </w:rPr>
        <w:instrText xml:space="preserve"> HYPERLINK "http://www.lszjy.com" </w:instrText>
      </w:r>
      <w:r>
        <w:rPr>
          <w:rFonts w:hint="eastAsia" w:ascii="宋体" w:hAnsi="宋体" w:eastAsia="宋体" w:cs="宋体"/>
          <w:color w:val="000000"/>
          <w:sz w:val="24"/>
          <w:szCs w:val="24"/>
          <w:highlight w:val="none"/>
          <w:lang w:val="en-US" w:eastAsia="zh-CN"/>
        </w:rPr>
        <w:fldChar w:fldCharType="separate"/>
      </w:r>
      <w:r>
        <w:rPr>
          <w:rStyle w:val="13"/>
          <w:rFonts w:hint="eastAsia" w:ascii="宋体" w:hAnsi="宋体" w:eastAsia="宋体" w:cs="宋体"/>
          <w:color w:val="000000"/>
          <w:sz w:val="24"/>
          <w:szCs w:val="24"/>
          <w:highlight w:val="none"/>
          <w:lang w:val="en-US" w:eastAsia="zh-CN"/>
        </w:rPr>
        <w:t>www.lszjy.com</w:t>
      </w:r>
      <w:r>
        <w:rPr>
          <w:rFonts w:hint="eastAsia" w:ascii="宋体" w:hAnsi="宋体" w:eastAsia="宋体" w:cs="宋体"/>
          <w:color w:val="000000"/>
          <w:sz w:val="24"/>
          <w:szCs w:val="24"/>
          <w:highlight w:val="none"/>
          <w:lang w:val="en-US" w:eastAsia="zh-CN"/>
        </w:rPr>
        <w:fldChar w:fldCharType="end"/>
      </w:r>
      <w:r>
        <w:rPr>
          <w:rFonts w:hint="eastAsia" w:ascii="宋体" w:hAnsi="宋体" w:eastAsia="宋体" w:cs="宋体"/>
          <w:color w:val="000000"/>
          <w:sz w:val="24"/>
          <w:szCs w:val="24"/>
          <w:highlight w:val="none"/>
          <w:lang w:val="en-US" w:eastAsia="zh-CN"/>
        </w:rPr>
        <w:t>）</w:t>
      </w:r>
    </w:p>
    <w:p w14:paraId="38FC7323">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11.本公告发出日即为中标(中标)结果公告期限届满之日</w:t>
      </w:r>
    </w:p>
    <w:p w14:paraId="3BAA4512">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auto"/>
          <w:sz w:val="24"/>
          <w:szCs w:val="24"/>
        </w:rPr>
      </w:pPr>
      <w:r>
        <w:rPr>
          <w:rFonts w:hint="eastAsia" w:ascii="宋体" w:hAnsi="宋体" w:eastAsia="宋体" w:cs="宋体"/>
          <w:sz w:val="24"/>
          <w:szCs w:val="24"/>
          <w:lang w:val="en-US" w:eastAsia="zh-CN"/>
        </w:rPr>
        <w:t>12.中标人接到中标通知书后30日内与招标单位签订合同</w:t>
      </w:r>
    </w:p>
    <w:p w14:paraId="0EB30964">
      <w:pPr>
        <w:keepNext w:val="0"/>
        <w:keepLines w:val="0"/>
        <w:pageBreakBefore w:val="0"/>
        <w:widowControl/>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lang w:eastAsia="zh-CN"/>
        </w:rPr>
      </w:pPr>
    </w:p>
    <w:p w14:paraId="14FF6450">
      <w:pPr>
        <w:keepNext w:val="0"/>
        <w:keepLines w:val="0"/>
        <w:pageBreakBefore w:val="0"/>
        <w:widowControl/>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lang w:eastAsia="zh-CN"/>
        </w:rPr>
      </w:pPr>
    </w:p>
    <w:p w14:paraId="7130396E">
      <w:pPr>
        <w:keepNext w:val="0"/>
        <w:keepLines w:val="0"/>
        <w:pageBreakBefore w:val="0"/>
        <w:widowControl/>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丽水市丽水职业技术学院</w:t>
      </w:r>
    </w:p>
    <w:p w14:paraId="0611EDB3">
      <w:pPr>
        <w:keepNext w:val="0"/>
        <w:keepLines w:val="0"/>
        <w:pageBreakBefore w:val="0"/>
        <w:widowControl/>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auto"/>
          <w:kern w:val="0"/>
          <w:sz w:val="24"/>
          <w:szCs w:val="24"/>
        </w:rPr>
      </w:pPr>
      <w:r>
        <w:rPr>
          <w:rFonts w:hint="eastAsia" w:ascii="宋体" w:hAnsi="宋体" w:eastAsia="宋体" w:cs="宋体"/>
          <w:color w:val="auto"/>
          <w:sz w:val="24"/>
          <w:szCs w:val="24"/>
        </w:rPr>
        <w:t xml:space="preserve"> </w:t>
      </w:r>
      <w:r>
        <w:rPr>
          <w:rFonts w:hint="eastAsia" w:ascii="宋体" w:hAnsi="宋体" w:eastAsia="宋体" w:cs="宋体"/>
          <w:sz w:val="24"/>
          <w:szCs w:val="24"/>
        </w:rPr>
        <w:t>卓正招标咨询（</w:t>
      </w:r>
      <w:r>
        <w:rPr>
          <w:rFonts w:hint="eastAsia" w:ascii="宋体" w:hAnsi="宋体" w:eastAsia="宋体" w:cs="宋体"/>
          <w:sz w:val="24"/>
          <w:szCs w:val="24"/>
          <w:lang w:val="en-US" w:eastAsia="zh-CN"/>
        </w:rPr>
        <w:t>浙江</w:t>
      </w:r>
      <w:r>
        <w:rPr>
          <w:rFonts w:hint="eastAsia" w:ascii="宋体" w:hAnsi="宋体" w:eastAsia="宋体" w:cs="宋体"/>
          <w:sz w:val="24"/>
          <w:szCs w:val="24"/>
        </w:rPr>
        <w:t>）有限公司</w:t>
      </w:r>
      <w:r>
        <w:rPr>
          <w:rFonts w:hint="eastAsia" w:ascii="宋体" w:hAnsi="宋体" w:eastAsia="宋体" w:cs="宋体"/>
          <w:color w:val="auto"/>
          <w:kern w:val="0"/>
          <w:sz w:val="24"/>
          <w:szCs w:val="24"/>
        </w:rPr>
        <w:t xml:space="preserve"> </w:t>
      </w:r>
    </w:p>
    <w:p w14:paraId="3D254FCF">
      <w:pPr>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r>
        <w:rPr>
          <w:rFonts w:hint="eastAsia" w:ascii="宋体" w:hAnsi="宋体" w:eastAsia="宋体" w:cs="宋体"/>
          <w:color w:val="auto"/>
          <w:kern w:val="0"/>
          <w:sz w:val="24"/>
          <w:szCs w:val="24"/>
          <w:lang w:val="en-US" w:eastAsia="zh-CN"/>
        </w:rPr>
        <w:t>2026</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lang w:val="en-US" w:eastAsia="zh-CN"/>
        </w:rPr>
        <w:t>01</w:t>
      </w:r>
      <w:r>
        <w:rPr>
          <w:rFonts w:hint="eastAsia" w:ascii="宋体" w:hAnsi="宋体" w:eastAsia="宋体" w:cs="宋体"/>
          <w:color w:val="auto"/>
          <w:kern w:val="0"/>
          <w:sz w:val="24"/>
          <w:szCs w:val="24"/>
        </w:rPr>
        <w:t>月</w:t>
      </w:r>
      <w:r>
        <w:rPr>
          <w:rFonts w:hint="eastAsia" w:ascii="宋体" w:hAnsi="宋体" w:eastAsia="宋体" w:cs="宋体"/>
          <w:color w:val="auto"/>
          <w:kern w:val="0"/>
          <w:sz w:val="24"/>
          <w:szCs w:val="24"/>
          <w:lang w:val="en-US" w:eastAsia="zh-CN"/>
        </w:rPr>
        <w:t>09</w:t>
      </w:r>
      <w:r>
        <w:rPr>
          <w:rFonts w:hint="eastAsia" w:ascii="宋体" w:hAnsi="宋体" w:eastAsia="宋体" w:cs="宋体"/>
          <w:color w:val="auto"/>
          <w:kern w:val="0"/>
          <w:sz w:val="24"/>
          <w:szCs w:val="24"/>
        </w:rPr>
        <w:t>日</w:t>
      </w:r>
    </w:p>
    <w:sectPr>
      <w:headerReference r:id="rId5" w:type="first"/>
      <w:footerReference r:id="rId8" w:type="first"/>
      <w:headerReference r:id="rId3" w:type="default"/>
      <w:footerReference r:id="rId6" w:type="default"/>
      <w:headerReference r:id="rId4" w:type="even"/>
      <w:footerReference r:id="rId7" w:type="even"/>
      <w:pgSz w:w="11906" w:h="16838"/>
      <w:pgMar w:top="992" w:right="1106" w:bottom="56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CECD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E4BAC">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B903F">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50929">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DB22C">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CD0EC">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D5D"/>
    <w:rsid w:val="00046923"/>
    <w:rsid w:val="000E13BC"/>
    <w:rsid w:val="00120B5E"/>
    <w:rsid w:val="00230787"/>
    <w:rsid w:val="002314DF"/>
    <w:rsid w:val="00240705"/>
    <w:rsid w:val="002462F9"/>
    <w:rsid w:val="00251A72"/>
    <w:rsid w:val="002A0D5D"/>
    <w:rsid w:val="00323A68"/>
    <w:rsid w:val="00420DF9"/>
    <w:rsid w:val="00475448"/>
    <w:rsid w:val="00662EE6"/>
    <w:rsid w:val="007B1181"/>
    <w:rsid w:val="00857DE5"/>
    <w:rsid w:val="008B02F4"/>
    <w:rsid w:val="008F22D2"/>
    <w:rsid w:val="009550E4"/>
    <w:rsid w:val="00980C9E"/>
    <w:rsid w:val="009B383E"/>
    <w:rsid w:val="00A26C2F"/>
    <w:rsid w:val="00A54556"/>
    <w:rsid w:val="00AC3AB3"/>
    <w:rsid w:val="00C3602A"/>
    <w:rsid w:val="00D510D3"/>
    <w:rsid w:val="00E75C5B"/>
    <w:rsid w:val="00EE0FE3"/>
    <w:rsid w:val="00FB0503"/>
    <w:rsid w:val="0253513E"/>
    <w:rsid w:val="039F7912"/>
    <w:rsid w:val="056D26F5"/>
    <w:rsid w:val="05E0577B"/>
    <w:rsid w:val="06AF52D9"/>
    <w:rsid w:val="072B78A9"/>
    <w:rsid w:val="084A3F1F"/>
    <w:rsid w:val="08AA38EF"/>
    <w:rsid w:val="0B25661A"/>
    <w:rsid w:val="0EA963FB"/>
    <w:rsid w:val="0EE83CB2"/>
    <w:rsid w:val="10105BA9"/>
    <w:rsid w:val="111C124E"/>
    <w:rsid w:val="11E2759C"/>
    <w:rsid w:val="13B40674"/>
    <w:rsid w:val="14306A7A"/>
    <w:rsid w:val="150C65ED"/>
    <w:rsid w:val="151D0420"/>
    <w:rsid w:val="160367A8"/>
    <w:rsid w:val="187C17A3"/>
    <w:rsid w:val="1B1F4EC1"/>
    <w:rsid w:val="1C563977"/>
    <w:rsid w:val="1CD80DF0"/>
    <w:rsid w:val="1D174E16"/>
    <w:rsid w:val="1D98208F"/>
    <w:rsid w:val="1DA13171"/>
    <w:rsid w:val="1E1E4664"/>
    <w:rsid w:val="1E5B14D8"/>
    <w:rsid w:val="23270287"/>
    <w:rsid w:val="26ED63BE"/>
    <w:rsid w:val="2721336C"/>
    <w:rsid w:val="286B3F66"/>
    <w:rsid w:val="28AA77ED"/>
    <w:rsid w:val="299E1159"/>
    <w:rsid w:val="2B29397C"/>
    <w:rsid w:val="2BB8004A"/>
    <w:rsid w:val="2BEA1DA2"/>
    <w:rsid w:val="2DF87FA2"/>
    <w:rsid w:val="2EB2577E"/>
    <w:rsid w:val="2FFE4D88"/>
    <w:rsid w:val="30664A3B"/>
    <w:rsid w:val="30833ECE"/>
    <w:rsid w:val="31AA5FE3"/>
    <w:rsid w:val="321248E3"/>
    <w:rsid w:val="329418A4"/>
    <w:rsid w:val="32F37C36"/>
    <w:rsid w:val="331911B8"/>
    <w:rsid w:val="34092376"/>
    <w:rsid w:val="3428626B"/>
    <w:rsid w:val="34484725"/>
    <w:rsid w:val="347809D6"/>
    <w:rsid w:val="370914F0"/>
    <w:rsid w:val="375A43E3"/>
    <w:rsid w:val="3DA0281B"/>
    <w:rsid w:val="405C66FC"/>
    <w:rsid w:val="40D65EC9"/>
    <w:rsid w:val="41894C7C"/>
    <w:rsid w:val="42030921"/>
    <w:rsid w:val="42060B86"/>
    <w:rsid w:val="43242CFC"/>
    <w:rsid w:val="447C395E"/>
    <w:rsid w:val="44897137"/>
    <w:rsid w:val="46337286"/>
    <w:rsid w:val="46604556"/>
    <w:rsid w:val="46D44182"/>
    <w:rsid w:val="47083A71"/>
    <w:rsid w:val="474C1F24"/>
    <w:rsid w:val="4756205E"/>
    <w:rsid w:val="48B74475"/>
    <w:rsid w:val="48D12D89"/>
    <w:rsid w:val="492A4715"/>
    <w:rsid w:val="4BD25199"/>
    <w:rsid w:val="4C7236C3"/>
    <w:rsid w:val="4DA9688D"/>
    <w:rsid w:val="4E0A4170"/>
    <w:rsid w:val="4F2972E5"/>
    <w:rsid w:val="50C815A9"/>
    <w:rsid w:val="531A7D34"/>
    <w:rsid w:val="53EA382D"/>
    <w:rsid w:val="54927682"/>
    <w:rsid w:val="55974C24"/>
    <w:rsid w:val="55B526CA"/>
    <w:rsid w:val="55CC183D"/>
    <w:rsid w:val="56241B5E"/>
    <w:rsid w:val="5643309B"/>
    <w:rsid w:val="56643A1A"/>
    <w:rsid w:val="58817556"/>
    <w:rsid w:val="58DF1D06"/>
    <w:rsid w:val="5A701A50"/>
    <w:rsid w:val="5AB52930"/>
    <w:rsid w:val="5C977320"/>
    <w:rsid w:val="5E0B16C5"/>
    <w:rsid w:val="5E2567C4"/>
    <w:rsid w:val="5E2652CE"/>
    <w:rsid w:val="5F5E04BF"/>
    <w:rsid w:val="62AE22BC"/>
    <w:rsid w:val="65247A24"/>
    <w:rsid w:val="692512D9"/>
    <w:rsid w:val="6B1A5F1A"/>
    <w:rsid w:val="6BFA7564"/>
    <w:rsid w:val="6C6F59E4"/>
    <w:rsid w:val="6D3D3D08"/>
    <w:rsid w:val="6E2B29B9"/>
    <w:rsid w:val="6E5471F3"/>
    <w:rsid w:val="6F97583F"/>
    <w:rsid w:val="70247F7F"/>
    <w:rsid w:val="70554BD7"/>
    <w:rsid w:val="71222B54"/>
    <w:rsid w:val="73CE0B3C"/>
    <w:rsid w:val="75A327F9"/>
    <w:rsid w:val="78F13F67"/>
    <w:rsid w:val="791F3ABE"/>
    <w:rsid w:val="79597AFF"/>
    <w:rsid w:val="79C64E10"/>
    <w:rsid w:val="79E364EB"/>
    <w:rsid w:val="7E2308C8"/>
    <w:rsid w:val="7EE437DF"/>
    <w:rsid w:val="7FDB6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next w:val="5"/>
    <w:qFormat/>
    <w:uiPriority w:val="0"/>
    <w:pPr>
      <w:keepNext/>
      <w:keepLines/>
      <w:spacing w:before="260" w:beforeLines="0" w:after="260" w:afterLines="0" w:line="360" w:lineRule="auto"/>
      <w:ind w:firstLine="602" w:firstLineChars="200"/>
      <w:outlineLvl w:val="2"/>
    </w:pPr>
    <w:rPr>
      <w:rFonts w:ascii="仿宋_GB2312" w:eastAsia="仿宋_GB2312" w:cs="宋体"/>
      <w:b/>
      <w:bCs/>
      <w:sz w:val="30"/>
      <w:szCs w:val="20"/>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99"/>
    <w:pPr>
      <w:spacing w:after="120"/>
    </w:pPr>
  </w:style>
  <w:style w:type="paragraph" w:styleId="5">
    <w:name w:val="Normal Indent"/>
    <w:basedOn w:val="1"/>
    <w:qFormat/>
    <w:uiPriority w:val="0"/>
    <w:pPr>
      <w:ind w:firstLine="420"/>
    </w:pPr>
    <w:rPr>
      <w:kern w:val="0"/>
      <w:sz w:val="20"/>
      <w:szCs w:val="20"/>
    </w:r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styleId="13">
    <w:name w:val="Hyperlink"/>
    <w:basedOn w:val="11"/>
    <w:semiHidden/>
    <w:unhideWhenUsed/>
    <w:qFormat/>
    <w:uiPriority w:val="99"/>
    <w:rPr>
      <w:color w:val="0000FF"/>
      <w:u w:val="single"/>
    </w:rPr>
  </w:style>
  <w:style w:type="paragraph" w:customStyle="1" w:styleId="14">
    <w:name w:val="Default"/>
    <w:next w:val="15"/>
    <w:qFormat/>
    <w:uiPriority w:val="0"/>
    <w:pPr>
      <w:widowControl w:val="0"/>
      <w:autoSpaceDE w:val="0"/>
      <w:autoSpaceDN w:val="0"/>
      <w:adjustRightInd w:val="0"/>
    </w:pPr>
    <w:rPr>
      <w:rFonts w:ascii="仿宋_GB2312" w:hAnsi="新宋体" w:eastAsia="仿宋_GB2312" w:cs="仿宋_GB2312"/>
      <w:color w:val="000000"/>
      <w:sz w:val="24"/>
      <w:szCs w:val="24"/>
      <w:lang w:val="en-US" w:eastAsia="zh-CN" w:bidi="ar-SA"/>
    </w:rPr>
  </w:style>
  <w:style w:type="paragraph" w:customStyle="1" w:styleId="15">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16">
    <w:name w:val="s-mid-content-date"/>
    <w:basedOn w:val="1"/>
    <w:qFormat/>
    <w:uiPriority w:val="0"/>
    <w:pPr>
      <w:widowControl/>
      <w:spacing w:before="100" w:beforeAutospacing="1" w:after="100" w:afterAutospacing="1" w:line="502" w:lineRule="atLeast"/>
      <w:jc w:val="center"/>
    </w:pPr>
    <w:rPr>
      <w:rFonts w:ascii="宋体" w:hAnsi="宋体" w:eastAsia="宋体" w:cs="宋体"/>
      <w:kern w:val="0"/>
      <w:sz w:val="23"/>
      <w:szCs w:val="23"/>
    </w:rPr>
  </w:style>
  <w:style w:type="character" w:customStyle="1" w:styleId="17">
    <w:name w:val="15"/>
    <w:basedOn w:val="11"/>
    <w:qFormat/>
    <w:uiPriority w:val="0"/>
  </w:style>
  <w:style w:type="character" w:customStyle="1" w:styleId="18">
    <w:name w:val="页眉 Char"/>
    <w:basedOn w:val="11"/>
    <w:link w:val="7"/>
    <w:semiHidden/>
    <w:qFormat/>
    <w:uiPriority w:val="99"/>
    <w:rPr>
      <w:sz w:val="18"/>
      <w:szCs w:val="18"/>
    </w:rPr>
  </w:style>
  <w:style w:type="character" w:customStyle="1" w:styleId="19">
    <w:name w:val="页脚 Char"/>
    <w:basedOn w:val="11"/>
    <w:link w:val="6"/>
    <w:semiHidden/>
    <w:qFormat/>
    <w:uiPriority w:val="99"/>
    <w:rPr>
      <w:sz w:val="18"/>
      <w:szCs w:val="18"/>
    </w:rPr>
  </w:style>
  <w:style w:type="paragraph" w:styleId="20">
    <w:name w:val="List Paragraph"/>
    <w:basedOn w:val="1"/>
    <w:qFormat/>
    <w:uiPriority w:val="99"/>
    <w:pPr>
      <w:ind w:left="117"/>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891</Words>
  <Characters>1065</Characters>
  <Lines>5</Lines>
  <Paragraphs>1</Paragraphs>
  <TotalTime>1</TotalTime>
  <ScaleCrop>false</ScaleCrop>
  <LinksUpToDate>false</LinksUpToDate>
  <CharactersWithSpaces>1103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2017-08-09T02:44:00Z</dcterms:created>
  <dc:creator>NTKO</dc:creator>
  <cp:lastModifiedBy>邦邦麻麻</cp:lastModifiedBy>
  <cp:lastPrinted>2026-01-09T06:16:00Z</cp:lastPrinted>
  <dcterms:modified xsi:type="dcterms:W3CDTF">2026-01-09T06:22:20Z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DCB54F1B95444019BCA66BF522BAA4A9</vt:lpwstr>
  </property>
  <property fmtid="{D5CDD505-2E9C-101B-9397-08002B2CF9AE}" pid="4" name="KSOTemplateDocerSaveRecord">
    <vt:lpwstr>eyJoZGlkIjoiMTIzNTM4NDgwZTFkMDAxZTEyMDc2YzU0MmM5MTlmNDUiLCJ1c2VySWQiOiI5Mjg0NjYzMjMifQ==</vt:lpwstr>
  </property>
</Properties>
</file>