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CB6B4">
      <w:pPr>
        <w:pStyle w:val="2"/>
        <w:tabs>
          <w:tab w:val="center" w:pos="4153"/>
          <w:tab w:val="right" w:pos="8306"/>
        </w:tabs>
        <w:spacing w:line="620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附件1</w:t>
      </w:r>
    </w:p>
    <w:p w14:paraId="0551A744">
      <w:pPr>
        <w:adjustRightInd w:val="0"/>
        <w:snapToGrid w:val="0"/>
        <w:spacing w:line="620" w:lineRule="exact"/>
        <w:jc w:val="center"/>
        <w:rPr>
          <w:rFonts w:ascii="Times New Roman" w:hAnsi="Times New Roman" w:eastAsia="方正小标宋简体"/>
          <w:sz w:val="44"/>
          <w:szCs w:val="44"/>
        </w:rPr>
      </w:pPr>
    </w:p>
    <w:p w14:paraId="397C8B89"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202</w:t>
      </w:r>
      <w:r>
        <w:rPr>
          <w:rFonts w:hint="eastAsia" w:ascii="Times New Roman" w:hAnsi="Times New Roman" w:eastAsia="方正小标宋简体"/>
          <w:sz w:val="44"/>
          <w:szCs w:val="44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年度浙江省人力资源和社会保障课题</w:t>
      </w:r>
    </w:p>
    <w:p w14:paraId="219E0AAF"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选题指南</w:t>
      </w:r>
    </w:p>
    <w:p w14:paraId="78BA6762">
      <w:pPr>
        <w:pStyle w:val="2"/>
        <w:tabs>
          <w:tab w:val="center" w:pos="4153"/>
          <w:tab w:val="right" w:pos="8306"/>
        </w:tabs>
        <w:spacing w:line="620" w:lineRule="exact"/>
        <w:rPr>
          <w:rFonts w:hint="eastAsia"/>
          <w:sz w:val="44"/>
          <w:szCs w:val="44"/>
        </w:rPr>
      </w:pPr>
    </w:p>
    <w:p w14:paraId="478FDAF0">
      <w:pPr>
        <w:spacing w:line="62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一、重点课题</w:t>
      </w:r>
      <w:bookmarkStart w:id="0" w:name="_GoBack"/>
      <w:bookmarkEnd w:id="0"/>
    </w:p>
    <w:p w14:paraId="36B91511">
      <w:pPr>
        <w:numPr>
          <w:ilvl w:val="0"/>
          <w:numId w:val="1"/>
        </w:numPr>
        <w:spacing w:line="620" w:lineRule="exact"/>
        <w:ind w:firstLine="640" w:firstLineChars="20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ascii="楷体_GB2312" w:hAnsi="仿宋_GB2312" w:eastAsia="楷体_GB2312" w:cs="仿宋_GB2312"/>
          <w:sz w:val="32"/>
          <w:szCs w:val="32"/>
          <w:lang w:bidi="ar"/>
        </w:rPr>
        <w:t>高质量充分就业促进富民增收研究</w:t>
      </w:r>
    </w:p>
    <w:p w14:paraId="1C6079BC">
      <w:pPr>
        <w:spacing w:line="6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主要研究内容：深入</w:t>
      </w:r>
      <w:r>
        <w:rPr>
          <w:rFonts w:ascii="仿宋_GB2312" w:hAnsi="仿宋_GB2312" w:eastAsia="仿宋_GB2312" w:cs="仿宋_GB2312"/>
          <w:sz w:val="32"/>
          <w:szCs w:val="32"/>
        </w:rPr>
        <w:t>分析</w:t>
      </w:r>
      <w:r>
        <w:rPr>
          <w:rFonts w:hint="eastAsia" w:ascii="仿宋_GB2312" w:hAnsi="仿宋_GB2312" w:eastAsia="仿宋_GB2312" w:cs="仿宋_GB2312"/>
          <w:sz w:val="32"/>
          <w:szCs w:val="32"/>
        </w:rPr>
        <w:t>我省</w:t>
      </w:r>
      <w:r>
        <w:rPr>
          <w:rFonts w:ascii="仿宋_GB2312" w:hAnsi="仿宋_GB2312" w:eastAsia="仿宋_GB2312" w:cs="仿宋_GB2312"/>
          <w:sz w:val="32"/>
          <w:szCs w:val="32"/>
        </w:rPr>
        <w:t>“十五五”</w:t>
      </w:r>
      <w:r>
        <w:rPr>
          <w:rFonts w:hint="eastAsia" w:ascii="仿宋_GB2312" w:hAnsi="仿宋_GB2312" w:eastAsia="仿宋_GB2312" w:cs="仿宋_GB2312"/>
          <w:sz w:val="32"/>
          <w:szCs w:val="32"/>
        </w:rPr>
        <w:t>时期</w:t>
      </w:r>
      <w:r>
        <w:rPr>
          <w:rFonts w:ascii="仿宋_GB2312" w:hAnsi="仿宋_GB2312" w:eastAsia="仿宋_GB2312" w:cs="仿宋_GB2312"/>
          <w:sz w:val="32"/>
          <w:szCs w:val="32"/>
        </w:rPr>
        <w:t>实现高质量充分就业</w:t>
      </w:r>
      <w:r>
        <w:rPr>
          <w:rFonts w:hint="eastAsia" w:ascii="仿宋_GB2312" w:hAnsi="仿宋_GB2312" w:eastAsia="仿宋_GB2312" w:cs="仿宋_GB2312"/>
          <w:sz w:val="32"/>
          <w:szCs w:val="32"/>
        </w:rPr>
        <w:t>面临</w:t>
      </w:r>
      <w:r>
        <w:rPr>
          <w:rFonts w:ascii="仿宋_GB2312" w:hAnsi="仿宋_GB2312" w:eastAsia="仿宋_GB2312" w:cs="仿宋_GB2312"/>
          <w:sz w:val="32"/>
          <w:szCs w:val="32"/>
        </w:rPr>
        <w:t>的主要问题和亟待突破的瓶颈，找准通过就业促进居民增收的突破点和着力点，提出高质量充分就业促进富民增收的思路和</w:t>
      </w:r>
      <w:r>
        <w:rPr>
          <w:rFonts w:hint="eastAsia" w:ascii="仿宋_GB2312" w:hAnsi="仿宋_GB2312" w:eastAsia="仿宋_GB2312" w:cs="仿宋_GB2312"/>
          <w:sz w:val="32"/>
          <w:szCs w:val="32"/>
        </w:rPr>
        <w:t>对策</w:t>
      </w:r>
      <w:r>
        <w:rPr>
          <w:rFonts w:ascii="仿宋_GB2312" w:hAnsi="仿宋_GB2312" w:eastAsia="仿宋_GB2312" w:cs="仿宋_GB2312"/>
          <w:sz w:val="32"/>
          <w:szCs w:val="32"/>
        </w:rPr>
        <w:t>建议。</w:t>
      </w:r>
    </w:p>
    <w:p w14:paraId="01646AC2">
      <w:pPr>
        <w:numPr>
          <w:ilvl w:val="0"/>
          <w:numId w:val="2"/>
        </w:numPr>
        <w:spacing w:line="620" w:lineRule="exact"/>
        <w:ind w:firstLine="640" w:firstLineChars="20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ascii="楷体_GB2312" w:hAnsi="仿宋_GB2312" w:eastAsia="楷体_GB2312" w:cs="仿宋_GB2312"/>
          <w:sz w:val="32"/>
          <w:szCs w:val="32"/>
          <w:lang w:bidi="ar"/>
        </w:rPr>
        <w:t>全球供应链产业链重构对浙江就业的影响</w:t>
      </w:r>
    </w:p>
    <w:p w14:paraId="3F2CFA4F">
      <w:pPr>
        <w:spacing w:line="6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主要研究内容：深入</w:t>
      </w:r>
      <w:r>
        <w:rPr>
          <w:rFonts w:ascii="仿宋_GB2312" w:hAnsi="仿宋_GB2312" w:eastAsia="仿宋_GB2312" w:cs="仿宋_GB2312"/>
          <w:sz w:val="32"/>
          <w:szCs w:val="32"/>
        </w:rPr>
        <w:t>分析全球产业链供应链</w:t>
      </w:r>
      <w:r>
        <w:rPr>
          <w:rFonts w:hint="eastAsia" w:ascii="仿宋_GB2312" w:hAnsi="仿宋_GB2312" w:eastAsia="仿宋_GB2312" w:cs="仿宋_GB2312"/>
          <w:sz w:val="32"/>
          <w:szCs w:val="32"/>
        </w:rPr>
        <w:t>重构的形势和特点，认真研判其</w:t>
      </w:r>
      <w:r>
        <w:rPr>
          <w:rFonts w:ascii="仿宋_GB2312" w:hAnsi="仿宋_GB2312" w:eastAsia="仿宋_GB2312" w:cs="仿宋_GB2312"/>
          <w:sz w:val="32"/>
          <w:szCs w:val="32"/>
        </w:rPr>
        <w:t>对浙江就业产生的趋势性影响，</w:t>
      </w:r>
      <w:r>
        <w:rPr>
          <w:rFonts w:hint="eastAsia" w:ascii="仿宋_GB2312" w:hAnsi="仿宋_GB2312" w:eastAsia="仿宋_GB2312" w:cs="仿宋_GB2312"/>
          <w:sz w:val="32"/>
          <w:szCs w:val="32"/>
        </w:rPr>
        <w:t>特别是对</w:t>
      </w:r>
      <w:r>
        <w:rPr>
          <w:rFonts w:ascii="仿宋_GB2312" w:hAnsi="仿宋_GB2312" w:eastAsia="仿宋_GB2312" w:cs="仿宋_GB2312"/>
          <w:sz w:val="32"/>
          <w:szCs w:val="32"/>
        </w:rPr>
        <w:t>传统产业</w:t>
      </w:r>
      <w:r>
        <w:rPr>
          <w:rFonts w:hint="eastAsia" w:ascii="仿宋_GB2312" w:hAnsi="仿宋_GB2312" w:eastAsia="仿宋_GB2312" w:cs="仿宋_GB2312"/>
          <w:sz w:val="32"/>
          <w:szCs w:val="32"/>
        </w:rPr>
        <w:t>和</w:t>
      </w:r>
      <w:r>
        <w:rPr>
          <w:rFonts w:ascii="仿宋_GB2312" w:hAnsi="仿宋_GB2312" w:eastAsia="仿宋_GB2312" w:cs="仿宋_GB2312"/>
          <w:sz w:val="32"/>
          <w:szCs w:val="32"/>
        </w:rPr>
        <w:t>新兴产业在就业规模、结构</w:t>
      </w:r>
      <w:r>
        <w:rPr>
          <w:rFonts w:hint="eastAsia" w:ascii="仿宋_GB2312" w:hAnsi="仿宋_GB2312" w:eastAsia="仿宋_GB2312" w:cs="仿宋_GB2312"/>
          <w:sz w:val="32"/>
          <w:szCs w:val="32"/>
        </w:rPr>
        <w:t>及</w:t>
      </w:r>
      <w:r>
        <w:rPr>
          <w:rFonts w:ascii="仿宋_GB2312" w:hAnsi="仿宋_GB2312" w:eastAsia="仿宋_GB2312" w:cs="仿宋_GB2312"/>
          <w:sz w:val="32"/>
          <w:szCs w:val="32"/>
        </w:rPr>
        <w:t>技能需求等</w:t>
      </w:r>
      <w:r>
        <w:rPr>
          <w:rFonts w:hint="eastAsia" w:ascii="仿宋_GB2312" w:hAnsi="仿宋_GB2312" w:eastAsia="仿宋_GB2312" w:cs="仿宋_GB2312"/>
          <w:sz w:val="32"/>
          <w:szCs w:val="32"/>
        </w:rPr>
        <w:t>方面的影响，</w:t>
      </w:r>
      <w:r>
        <w:rPr>
          <w:rFonts w:ascii="仿宋_GB2312" w:hAnsi="仿宋_GB2312" w:eastAsia="仿宋_GB2312" w:cs="仿宋_GB2312"/>
          <w:sz w:val="32"/>
          <w:szCs w:val="32"/>
        </w:rPr>
        <w:t>提出</w:t>
      </w:r>
      <w:r>
        <w:rPr>
          <w:rFonts w:hint="eastAsia" w:ascii="仿宋_GB2312" w:hAnsi="仿宋_GB2312" w:eastAsia="仿宋_GB2312" w:cs="仿宋_GB2312"/>
          <w:sz w:val="32"/>
          <w:szCs w:val="32"/>
        </w:rPr>
        <w:t>有针对性的</w:t>
      </w:r>
      <w:r>
        <w:rPr>
          <w:rFonts w:ascii="仿宋_GB2312" w:hAnsi="仿宋_GB2312" w:eastAsia="仿宋_GB2312" w:cs="仿宋_GB2312"/>
          <w:sz w:val="32"/>
          <w:szCs w:val="32"/>
        </w:rPr>
        <w:t>对策建议。</w:t>
      </w:r>
    </w:p>
    <w:p w14:paraId="63074825">
      <w:pPr>
        <w:tabs>
          <w:tab w:val="left" w:pos="840"/>
        </w:tabs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（三）我省青年就业创业状况及对策研究</w:t>
      </w:r>
    </w:p>
    <w:p w14:paraId="06A9EA54">
      <w:pPr>
        <w:tabs>
          <w:tab w:val="left" w:pos="840"/>
          <w:tab w:val="left" w:pos="1160"/>
        </w:tabs>
        <w:spacing w:line="62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</w:t>
      </w:r>
      <w:r>
        <w:rPr>
          <w:rFonts w:ascii="Times New Roman" w:hAnsi="Times New Roman" w:eastAsia="仿宋_GB2312"/>
          <w:sz w:val="32"/>
          <w:szCs w:val="32"/>
        </w:rPr>
        <w:t>以16</w:t>
      </w:r>
      <w:r>
        <w:rPr>
          <w:rFonts w:hint="eastAsia" w:ascii="Times New Roman" w:hAnsi="Times New Roman" w:eastAsia="仿宋_GB2312"/>
          <w:sz w:val="32"/>
          <w:szCs w:val="32"/>
        </w:rPr>
        <w:t>—</w:t>
      </w:r>
      <w:r>
        <w:rPr>
          <w:rFonts w:ascii="Times New Roman" w:hAnsi="Times New Roman" w:eastAsia="仿宋_GB2312"/>
          <w:sz w:val="32"/>
          <w:szCs w:val="32"/>
        </w:rPr>
        <w:t>35周</w:t>
      </w:r>
      <w:r>
        <w:rPr>
          <w:rFonts w:hint="eastAsia" w:ascii="仿宋_GB2312" w:hAnsi="仿宋_GB2312" w:eastAsia="仿宋_GB2312" w:cs="仿宋_GB2312"/>
          <w:sz w:val="32"/>
          <w:szCs w:val="32"/>
        </w:rPr>
        <w:t>岁青年为研究对象，分析近年来我省青年就业创业的新形势、新特点、新问题，重点关注高校毕业生、新兴行业就业青年及创业青年等就业群体，深入分析青年群体的就业创业需求，研究提出促进我省青年高质量就业创业的对策建议。</w:t>
      </w:r>
    </w:p>
    <w:p w14:paraId="5890C325">
      <w:pPr>
        <w:spacing w:line="620" w:lineRule="exact"/>
        <w:ind w:firstLine="640" w:firstLineChars="20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（四）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我省高水平科技创新人才培养机制研究</w:t>
      </w:r>
    </w:p>
    <w:p w14:paraId="432475E4">
      <w:pPr>
        <w:spacing w:line="6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主要研究内容：围</w:t>
      </w:r>
      <w:r>
        <w:rPr>
          <w:rFonts w:ascii="仿宋_GB2312" w:hAnsi="仿宋_GB2312" w:eastAsia="仿宋_GB2312" w:cs="仿宋_GB2312"/>
          <w:sz w:val="32"/>
          <w:szCs w:val="32"/>
        </w:rPr>
        <w:t>绕</w:t>
      </w:r>
      <w:r>
        <w:rPr>
          <w:rFonts w:hint="eastAsia" w:ascii="仿宋_GB2312" w:hAnsi="仿宋_GB2312" w:eastAsia="仿宋_GB2312" w:cs="仿宋_GB2312"/>
          <w:sz w:val="32"/>
          <w:szCs w:val="32"/>
        </w:rPr>
        <w:t>教育科技人才一体改革以及</w:t>
      </w:r>
      <w:r>
        <w:rPr>
          <w:rFonts w:ascii="仿宋_GB2312" w:hAnsi="仿宋_GB2312" w:eastAsia="仿宋_GB2312" w:cs="仿宋_GB2312"/>
          <w:sz w:val="32"/>
          <w:szCs w:val="32"/>
        </w:rPr>
        <w:t>科技创新和产业创新深度融合发展，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聚焦科技创新重大平台</w:t>
      </w:r>
      <w:r>
        <w:rPr>
          <w:rFonts w:ascii="仿宋_GB2312" w:hAnsi="仿宋_GB2312" w:eastAsia="仿宋_GB2312" w:cs="仿宋_GB2312"/>
          <w:sz w:val="32"/>
          <w:szCs w:val="32"/>
        </w:rPr>
        <w:t>，深入</w:t>
      </w:r>
      <w:r>
        <w:rPr>
          <w:rFonts w:hint="eastAsia" w:ascii="仿宋_GB2312" w:hAnsi="仿宋_GB2312" w:eastAsia="仿宋_GB2312" w:cs="仿宋_GB2312"/>
          <w:sz w:val="32"/>
          <w:szCs w:val="32"/>
        </w:rPr>
        <w:t>分析</w:t>
      </w:r>
      <w:r>
        <w:rPr>
          <w:rFonts w:ascii="仿宋_GB2312" w:hAnsi="仿宋_GB2312" w:eastAsia="仿宋_GB2312" w:cs="仿宋_GB2312"/>
          <w:sz w:val="32"/>
          <w:szCs w:val="32"/>
        </w:rPr>
        <w:t>科技创新人才培养</w:t>
      </w:r>
      <w:r>
        <w:rPr>
          <w:rFonts w:hint="eastAsia" w:ascii="仿宋_GB2312" w:hAnsi="仿宋_GB2312" w:eastAsia="仿宋_GB2312" w:cs="仿宋_GB2312"/>
          <w:sz w:val="32"/>
          <w:szCs w:val="32"/>
        </w:rPr>
        <w:t>模式及存在的</w:t>
      </w:r>
      <w:r>
        <w:rPr>
          <w:rFonts w:ascii="仿宋_GB2312" w:hAnsi="仿宋_GB2312" w:eastAsia="仿宋_GB2312" w:cs="仿宋_GB2312"/>
          <w:sz w:val="32"/>
          <w:szCs w:val="32"/>
        </w:rPr>
        <w:t>问题，</w:t>
      </w:r>
      <w:r>
        <w:rPr>
          <w:rFonts w:hint="eastAsia" w:ascii="仿宋_GB2312" w:hAnsi="仿宋_GB2312" w:eastAsia="仿宋_GB2312" w:cs="仿宋_GB2312"/>
          <w:sz w:val="32"/>
          <w:szCs w:val="32"/>
        </w:rPr>
        <w:t>有针对性地提出提升高水平</w:t>
      </w:r>
      <w:r>
        <w:rPr>
          <w:rFonts w:ascii="仿宋_GB2312" w:hAnsi="仿宋_GB2312" w:eastAsia="仿宋_GB2312" w:cs="仿宋_GB2312"/>
          <w:sz w:val="32"/>
          <w:szCs w:val="32"/>
        </w:rPr>
        <w:t>科技创新人才培养</w:t>
      </w:r>
      <w:r>
        <w:rPr>
          <w:rFonts w:hint="eastAsia" w:ascii="仿宋_GB2312" w:hAnsi="仿宋_GB2312" w:eastAsia="仿宋_GB2312" w:cs="仿宋_GB2312"/>
          <w:sz w:val="32"/>
          <w:szCs w:val="32"/>
        </w:rPr>
        <w:t>质量</w:t>
      </w:r>
      <w:r>
        <w:rPr>
          <w:rFonts w:ascii="仿宋_GB2312" w:hAnsi="仿宋_GB2312" w:eastAsia="仿宋_GB2312" w:cs="仿宋_GB2312"/>
          <w:sz w:val="32"/>
          <w:szCs w:val="32"/>
        </w:rPr>
        <w:t>的对策建议。</w:t>
      </w:r>
    </w:p>
    <w:p w14:paraId="64A1034E">
      <w:pPr>
        <w:tabs>
          <w:tab w:val="left" w:pos="840"/>
          <w:tab w:val="left" w:pos="1160"/>
        </w:tabs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（五）推动我省人力资源服务业创新发展研究</w:t>
      </w:r>
    </w:p>
    <w:p w14:paraId="4D1C3BF7">
      <w:pPr>
        <w:tabs>
          <w:tab w:val="left" w:pos="840"/>
          <w:tab w:val="left" w:pos="1160"/>
        </w:tabs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深入分析当前和今后一个时期我省人力资源服务业发展趋势，探索构建我省人力资源服务业创新发展的指标体系，提出推动人力资源服务业专业化、数字化、智能化、国际化创新发展的路径和对策建议。</w:t>
      </w:r>
    </w:p>
    <w:p w14:paraId="0AD547BA">
      <w:pPr>
        <w:tabs>
          <w:tab w:val="left" w:pos="840"/>
          <w:tab w:val="left" w:pos="1160"/>
        </w:tabs>
        <w:spacing w:line="620" w:lineRule="exact"/>
        <w:ind w:firstLine="64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（六）我省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民营经济高质量发展人才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支撑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研究</w:t>
      </w:r>
    </w:p>
    <w:p w14:paraId="04985764">
      <w:pPr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通过深入调研，摸清我省民营企业人才资源的结构、分布、来源等情况，总结分析我省民营企业人才引进与培养的成效及存在的问题，立足促进民营经济高质量发展，提出加强民营企业人才开发与培养的对策建议。</w:t>
      </w:r>
    </w:p>
    <w:p w14:paraId="5F4A75A1">
      <w:pPr>
        <w:tabs>
          <w:tab w:val="left" w:pos="840"/>
          <w:tab w:val="left" w:pos="1160"/>
        </w:tabs>
        <w:spacing w:line="620" w:lineRule="exact"/>
        <w:ind w:left="638" w:leftChars="304"/>
        <w:rPr>
          <w:rFonts w:hint="eastAsia"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（七）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“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千万工程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”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牵引下乡村高素养劳动者培养路径研究</w:t>
      </w:r>
    </w:p>
    <w:p w14:paraId="0F2B3572">
      <w:pPr>
        <w:tabs>
          <w:tab w:val="left" w:pos="840"/>
          <w:tab w:val="left" w:pos="1160"/>
        </w:tabs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主要研究内容：立足我省以“千万工程”牵引城乡融合发展的战略部署，深入调查我省乡村劳动力素质现状，剖析存在问题及其成因，提出打造乡村高素养劳动者队伍的对策建议。</w:t>
      </w:r>
    </w:p>
    <w:p w14:paraId="53C87AB9">
      <w:pPr>
        <w:tabs>
          <w:tab w:val="left" w:pos="840"/>
        </w:tabs>
        <w:spacing w:line="620" w:lineRule="exact"/>
        <w:ind w:firstLine="640" w:firstLineChars="200"/>
        <w:rPr>
          <w:rFonts w:hint="eastAsia"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（八）我省完善劳务品牌体系建设研究</w:t>
      </w:r>
    </w:p>
    <w:p w14:paraId="7DFDEE5C">
      <w:pPr>
        <w:tabs>
          <w:tab w:val="left" w:pos="840"/>
          <w:tab w:val="left" w:pos="1160"/>
        </w:tabs>
        <w:spacing w:line="620" w:lineRule="exact"/>
        <w:ind w:firstLine="640" w:firstLineChars="200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主要研究内容：围绕我省高质量发展建设共同富裕示范区的使命任务，深入分析全省各地劳务品牌的地域特色、行业特征、技能特点和存在的问题，研究提出推进劳务品牌体系建设的对策建议。</w:t>
      </w:r>
    </w:p>
    <w:p w14:paraId="260DFCAC">
      <w:pPr>
        <w:tabs>
          <w:tab w:val="left" w:pos="840"/>
        </w:tabs>
        <w:spacing w:line="620" w:lineRule="exact"/>
        <w:ind w:firstLine="640" w:firstLineChars="20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（九）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职业技能培训体制机制创新研究</w:t>
      </w:r>
    </w:p>
    <w:p w14:paraId="32BD54D0">
      <w:pPr>
        <w:tabs>
          <w:tab w:val="left" w:pos="840"/>
        </w:tabs>
        <w:spacing w:line="62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主要研究内容：深刻把握职业技能培训在促进就业、缓解“有人没活干”和“有活没人干”的结构性矛盾、促进产业转型升级及经济高质量发展中的积极作用，</w:t>
      </w:r>
      <w:r>
        <w:rPr>
          <w:rFonts w:ascii="仿宋_GB2312" w:hAnsi="仿宋_GB2312" w:eastAsia="仿宋_GB2312" w:cs="仿宋_GB2312"/>
          <w:sz w:val="32"/>
          <w:szCs w:val="32"/>
        </w:rPr>
        <w:t>研究借鉴国内外职业技能培训</w:t>
      </w:r>
      <w:r>
        <w:rPr>
          <w:rFonts w:hint="eastAsia" w:ascii="仿宋_GB2312" w:hAnsi="仿宋_GB2312" w:eastAsia="仿宋_GB2312" w:cs="仿宋_GB2312"/>
          <w:sz w:val="32"/>
          <w:szCs w:val="32"/>
        </w:rPr>
        <w:t>的有效</w:t>
      </w:r>
      <w:r>
        <w:rPr>
          <w:rFonts w:ascii="仿宋_GB2312" w:hAnsi="仿宋_GB2312" w:eastAsia="仿宋_GB2312" w:cs="仿宋_GB2312"/>
          <w:sz w:val="32"/>
          <w:szCs w:val="32"/>
        </w:rPr>
        <w:t>模式及经验做法，</w:t>
      </w:r>
      <w:r>
        <w:rPr>
          <w:rFonts w:hint="eastAsia" w:ascii="仿宋_GB2312" w:hAnsi="仿宋_GB2312" w:eastAsia="仿宋_GB2312" w:cs="仿宋_GB2312"/>
          <w:sz w:val="32"/>
          <w:szCs w:val="32"/>
        </w:rPr>
        <w:t>剖析我省职业技能培训体制机制存在的问题，研究</w:t>
      </w:r>
      <w:r>
        <w:rPr>
          <w:rFonts w:ascii="仿宋_GB2312" w:hAnsi="仿宋_GB2312" w:eastAsia="仿宋_GB2312" w:cs="仿宋_GB2312"/>
          <w:sz w:val="32"/>
          <w:szCs w:val="32"/>
        </w:rPr>
        <w:t>提出完善技能培训体制机制的对策建议。</w:t>
      </w:r>
    </w:p>
    <w:p w14:paraId="6D9370B9">
      <w:pPr>
        <w:tabs>
          <w:tab w:val="left" w:pos="840"/>
          <w:tab w:val="left" w:pos="1160"/>
        </w:tabs>
        <w:spacing w:line="620" w:lineRule="exact"/>
        <w:ind w:firstLine="640" w:firstLineChars="200"/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（十）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灵活就业和新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就业形态劳动者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社保权益保障机制研究</w:t>
      </w:r>
    </w:p>
    <w:p w14:paraId="174B141C">
      <w:pPr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</w:t>
      </w:r>
      <w:r>
        <w:rPr>
          <w:rFonts w:ascii="仿宋_GB2312" w:hAnsi="仿宋_GB2312" w:eastAsia="仿宋_GB2312" w:cs="仿宋_GB2312"/>
          <w:sz w:val="32"/>
          <w:szCs w:val="32"/>
        </w:rPr>
        <w:t>以浙江为例，深入分析灵活就业和新</w:t>
      </w:r>
      <w:r>
        <w:rPr>
          <w:rFonts w:hint="eastAsia" w:ascii="仿宋_GB2312" w:hAnsi="仿宋_GB2312" w:eastAsia="仿宋_GB2312" w:cs="仿宋_GB2312"/>
          <w:sz w:val="32"/>
          <w:szCs w:val="32"/>
        </w:rPr>
        <w:t>就业形态劳动者</w:t>
      </w:r>
      <w:r>
        <w:rPr>
          <w:rFonts w:ascii="仿宋_GB2312" w:hAnsi="仿宋_GB2312" w:eastAsia="仿宋_GB2312" w:cs="仿宋_GB2312"/>
          <w:sz w:val="32"/>
          <w:szCs w:val="32"/>
        </w:rPr>
        <w:t>社保权益保障现状和存在的问题，从完善制度和健全机制等</w:t>
      </w:r>
      <w:r>
        <w:rPr>
          <w:rFonts w:hint="eastAsia" w:ascii="仿宋_GB2312" w:hAnsi="仿宋_GB2312" w:eastAsia="仿宋_GB2312" w:cs="仿宋_GB2312"/>
          <w:sz w:val="32"/>
          <w:szCs w:val="32"/>
        </w:rPr>
        <w:t>维度，</w:t>
      </w:r>
      <w:r>
        <w:rPr>
          <w:rFonts w:ascii="仿宋_GB2312" w:hAnsi="仿宋_GB2312" w:eastAsia="仿宋_GB2312" w:cs="仿宋_GB2312"/>
          <w:sz w:val="32"/>
          <w:szCs w:val="32"/>
        </w:rPr>
        <w:t>提出</w:t>
      </w:r>
      <w:r>
        <w:rPr>
          <w:rFonts w:hint="eastAsia" w:ascii="仿宋_GB2312" w:hAnsi="仿宋_GB2312" w:eastAsia="仿宋_GB2312" w:cs="仿宋_GB2312"/>
          <w:sz w:val="32"/>
          <w:szCs w:val="32"/>
        </w:rPr>
        <w:t>完善</w:t>
      </w:r>
      <w:r>
        <w:rPr>
          <w:rFonts w:ascii="仿宋_GB2312" w:hAnsi="仿宋_GB2312" w:eastAsia="仿宋_GB2312" w:cs="仿宋_GB2312"/>
          <w:sz w:val="32"/>
          <w:szCs w:val="32"/>
        </w:rPr>
        <w:t>灵活就业和新</w:t>
      </w:r>
      <w:r>
        <w:rPr>
          <w:rFonts w:hint="eastAsia" w:ascii="仿宋_GB2312" w:hAnsi="仿宋_GB2312" w:eastAsia="仿宋_GB2312" w:cs="仿宋_GB2312"/>
          <w:sz w:val="32"/>
          <w:szCs w:val="32"/>
        </w:rPr>
        <w:t>就业形态劳动者</w:t>
      </w:r>
      <w:r>
        <w:rPr>
          <w:rFonts w:ascii="仿宋_GB2312" w:hAnsi="仿宋_GB2312" w:eastAsia="仿宋_GB2312" w:cs="仿宋_GB2312"/>
          <w:sz w:val="32"/>
          <w:szCs w:val="32"/>
        </w:rPr>
        <w:t>社保权益保障</w:t>
      </w:r>
      <w:r>
        <w:rPr>
          <w:rFonts w:hint="eastAsia" w:ascii="仿宋_GB2312" w:hAnsi="仿宋_GB2312" w:eastAsia="仿宋_GB2312" w:cs="仿宋_GB2312"/>
          <w:sz w:val="32"/>
          <w:szCs w:val="32"/>
        </w:rPr>
        <w:t>机制</w:t>
      </w:r>
      <w:r>
        <w:rPr>
          <w:rFonts w:ascii="仿宋_GB2312" w:hAnsi="仿宋_GB2312" w:eastAsia="仿宋_GB2312" w:cs="仿宋_GB2312"/>
          <w:sz w:val="32"/>
          <w:szCs w:val="32"/>
        </w:rPr>
        <w:t>的思路</w:t>
      </w:r>
      <w:r>
        <w:rPr>
          <w:rFonts w:hint="eastAsia" w:ascii="仿宋_GB2312" w:hAnsi="仿宋_GB2312" w:eastAsia="仿宋_GB2312" w:cs="仿宋_GB2312"/>
          <w:sz w:val="32"/>
          <w:szCs w:val="32"/>
        </w:rPr>
        <w:t>和对策</w:t>
      </w:r>
      <w:r>
        <w:rPr>
          <w:rFonts w:ascii="仿宋_GB2312" w:hAnsi="仿宋_GB2312" w:eastAsia="仿宋_GB2312" w:cs="仿宋_GB2312"/>
          <w:sz w:val="32"/>
          <w:szCs w:val="32"/>
        </w:rPr>
        <w:t>建议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19BFE64">
      <w:pPr>
        <w:spacing w:line="620" w:lineRule="exact"/>
        <w:ind w:firstLine="640" w:firstLineChars="200"/>
        <w:rPr>
          <w:rFonts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（十一）养老金融助推多层次多支柱养老保险体系建设研究</w:t>
      </w:r>
    </w:p>
    <w:p w14:paraId="36D1B9E8">
      <w:pPr>
        <w:widowControl/>
        <w:spacing w:line="62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</w:t>
      </w:r>
      <w:r>
        <w:rPr>
          <w:rFonts w:ascii="仿宋_GB2312" w:hAnsi="仿宋_GB2312" w:eastAsia="仿宋_GB2312" w:cs="仿宋_GB2312"/>
          <w:sz w:val="32"/>
          <w:szCs w:val="32"/>
        </w:rPr>
        <w:t>深入分析目前</w:t>
      </w:r>
      <w:r>
        <w:rPr>
          <w:rFonts w:hint="eastAsia" w:ascii="仿宋_GB2312" w:hAnsi="仿宋_GB2312" w:eastAsia="仿宋_GB2312" w:cs="仿宋_GB2312"/>
          <w:sz w:val="32"/>
          <w:szCs w:val="32"/>
        </w:rPr>
        <w:t>我省</w:t>
      </w:r>
      <w:r>
        <w:rPr>
          <w:rFonts w:ascii="仿宋_GB2312" w:hAnsi="仿宋_GB2312" w:eastAsia="仿宋_GB2312" w:cs="仿宋_GB2312"/>
          <w:sz w:val="32"/>
          <w:szCs w:val="32"/>
        </w:rPr>
        <w:t>养老金融</w:t>
      </w:r>
      <w:r>
        <w:rPr>
          <w:rFonts w:hint="eastAsia" w:ascii="仿宋_GB2312" w:hAnsi="仿宋_GB2312" w:eastAsia="仿宋_GB2312" w:cs="仿宋_GB2312"/>
          <w:sz w:val="32"/>
          <w:szCs w:val="32"/>
        </w:rPr>
        <w:t>发展进展情况，剖析养老金融</w:t>
      </w:r>
      <w:r>
        <w:rPr>
          <w:rFonts w:ascii="仿宋_GB2312" w:hAnsi="仿宋_GB2312" w:eastAsia="仿宋_GB2312" w:cs="仿宋_GB2312"/>
          <w:sz w:val="32"/>
          <w:szCs w:val="32"/>
        </w:rPr>
        <w:t>在推动多层次多支柱养老保险体系发展中存在的问题和制约因素，参考</w:t>
      </w:r>
      <w:r>
        <w:rPr>
          <w:rFonts w:hint="eastAsia" w:ascii="仿宋_GB2312" w:hAnsi="仿宋_GB2312" w:eastAsia="仿宋_GB2312" w:cs="仿宋_GB2312"/>
          <w:sz w:val="32"/>
          <w:szCs w:val="32"/>
        </w:rPr>
        <w:t>借鉴</w:t>
      </w:r>
      <w:r>
        <w:rPr>
          <w:rFonts w:ascii="仿宋_GB2312" w:hAnsi="仿宋_GB2312" w:eastAsia="仿宋_GB2312" w:cs="仿宋_GB2312"/>
          <w:sz w:val="32"/>
          <w:szCs w:val="32"/>
        </w:rPr>
        <w:t>国内外发展经验，研究提出推动养老金融助力多层次多支柱养老保险体系发展的</w:t>
      </w:r>
      <w:r>
        <w:rPr>
          <w:rFonts w:hint="eastAsia" w:ascii="仿宋_GB2312" w:hAnsi="仿宋_GB2312" w:eastAsia="仿宋_GB2312" w:cs="仿宋_GB2312"/>
          <w:sz w:val="32"/>
          <w:szCs w:val="32"/>
        </w:rPr>
        <w:t>对策建议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 w14:paraId="35F995F0">
      <w:pPr>
        <w:widowControl/>
        <w:spacing w:line="620" w:lineRule="exact"/>
        <w:ind w:firstLine="640"/>
        <w:jc w:val="left"/>
        <w:rPr>
          <w:rFonts w:ascii="Times New Roman" w:hAnsi="Times New Roman" w:eastAsia="方正仿宋_GB2312"/>
          <w:sz w:val="24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（十二）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新就业形态劳动基准问题研究</w:t>
      </w:r>
    </w:p>
    <w:p w14:paraId="69CFB3EF">
      <w:pPr>
        <w:widowControl/>
        <w:spacing w:line="620" w:lineRule="exact"/>
        <w:ind w:firstLine="640" w:firstLineChars="200"/>
        <w:jc w:val="left"/>
        <w:rPr>
          <w:rFonts w:ascii="Times New Roman" w:hAnsi="Times New Roman" w:eastAsia="方正仿宋_GB2312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主要研究内容：深入</w:t>
      </w:r>
      <w:r>
        <w:rPr>
          <w:rFonts w:ascii="仿宋_GB2312" w:hAnsi="仿宋_GB2312" w:eastAsia="仿宋_GB2312" w:cs="仿宋_GB2312"/>
          <w:sz w:val="32"/>
          <w:szCs w:val="32"/>
        </w:rPr>
        <w:t>分析数字经济发展、算法技术应用对新就业形态劳动的影响，研究新就业形态劳动者劳动基准现状及</w:t>
      </w:r>
      <w:r>
        <w:rPr>
          <w:rFonts w:hint="eastAsia" w:ascii="仿宋_GB2312" w:hAnsi="仿宋_GB2312" w:eastAsia="仿宋_GB2312" w:cs="仿宋_GB2312"/>
          <w:sz w:val="32"/>
          <w:szCs w:val="32"/>
        </w:rPr>
        <w:t>存在的</w:t>
      </w:r>
      <w:r>
        <w:rPr>
          <w:rFonts w:ascii="仿宋_GB2312" w:hAnsi="仿宋_GB2312" w:eastAsia="仿宋_GB2312" w:cs="仿宋_GB2312"/>
          <w:sz w:val="32"/>
          <w:szCs w:val="32"/>
        </w:rPr>
        <w:t>主要问题，探讨规范新就业形态劳动基准内容及相关劳动权益保障的思路和</w:t>
      </w:r>
      <w:r>
        <w:rPr>
          <w:rFonts w:hint="eastAsia" w:ascii="仿宋_GB2312" w:hAnsi="仿宋_GB2312" w:eastAsia="仿宋_GB2312" w:cs="仿宋_GB2312"/>
          <w:sz w:val="32"/>
          <w:szCs w:val="32"/>
        </w:rPr>
        <w:t>对策</w:t>
      </w:r>
      <w:r>
        <w:rPr>
          <w:rFonts w:ascii="仿宋_GB2312" w:hAnsi="仿宋_GB2312" w:eastAsia="仿宋_GB2312" w:cs="仿宋_GB2312"/>
          <w:sz w:val="32"/>
          <w:szCs w:val="32"/>
        </w:rPr>
        <w:t>建议</w:t>
      </w:r>
      <w:r>
        <w:rPr>
          <w:rFonts w:ascii="Times New Roman" w:hAnsi="Times New Roman" w:eastAsia="方正仿宋_GB2312"/>
          <w:sz w:val="24"/>
        </w:rPr>
        <w:t>。</w:t>
      </w:r>
    </w:p>
    <w:p w14:paraId="1E87003F">
      <w:pPr>
        <w:tabs>
          <w:tab w:val="left" w:pos="840"/>
        </w:tabs>
        <w:spacing w:line="620" w:lineRule="exact"/>
        <w:ind w:firstLine="640" w:firstLineChars="200"/>
        <w:rPr>
          <w:rFonts w:hint="eastAsia" w:ascii="楷体_GB2312" w:hAnsi="仿宋_GB2312" w:eastAsia="楷体_GB2312" w:cs="仿宋_GB2312"/>
          <w:sz w:val="32"/>
          <w:szCs w:val="32"/>
          <w:lang w:bidi="ar"/>
        </w:rPr>
      </w:pP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（十三）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人工智能助力人社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基本</w:t>
      </w:r>
      <w:r>
        <w:rPr>
          <w:rFonts w:ascii="楷体_GB2312" w:hAnsi="仿宋_GB2312" w:eastAsia="楷体_GB2312" w:cs="仿宋_GB2312"/>
          <w:sz w:val="32"/>
          <w:szCs w:val="32"/>
          <w:lang w:bidi="ar"/>
        </w:rPr>
        <w:t>公共服务一体化</w:t>
      </w:r>
      <w:r>
        <w:rPr>
          <w:rFonts w:hint="eastAsia" w:ascii="楷体_GB2312" w:hAnsi="仿宋_GB2312" w:eastAsia="楷体_GB2312" w:cs="仿宋_GB2312"/>
          <w:sz w:val="32"/>
          <w:szCs w:val="32"/>
          <w:lang w:bidi="ar"/>
        </w:rPr>
        <w:t>研究</w:t>
      </w:r>
    </w:p>
    <w:p w14:paraId="2E2F57B1">
      <w:pPr>
        <w:tabs>
          <w:tab w:val="left" w:pos="840"/>
        </w:tabs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研究内容：全面分析我省人社基本公共服务在城乡、区域、群体间存在的差距，深入剖析产生的原因，结合人工智能的发展趋势，研究提出人工智能助力缩小城乡、区域、群体间人社基本公共服务差距的方法和路径。</w:t>
      </w:r>
    </w:p>
    <w:p w14:paraId="470A5446">
      <w:pPr>
        <w:numPr>
          <w:ilvl w:val="0"/>
          <w:numId w:val="3"/>
        </w:numPr>
        <w:tabs>
          <w:tab w:val="left" w:pos="840"/>
          <w:tab w:val="left" w:pos="1160"/>
        </w:tabs>
        <w:spacing w:line="62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一般课题</w:t>
      </w:r>
    </w:p>
    <w:p w14:paraId="0D1BAE13">
      <w:pPr>
        <w:numPr>
          <w:ilvl w:val="0"/>
          <w:numId w:val="4"/>
        </w:numPr>
        <w:tabs>
          <w:tab w:val="left" w:pos="840"/>
          <w:tab w:val="left" w:pos="1160"/>
        </w:tabs>
        <w:spacing w:line="620" w:lineRule="exact"/>
        <w:ind w:left="64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就业创业</w:t>
      </w:r>
    </w:p>
    <w:p w14:paraId="7959FA17">
      <w:pPr>
        <w:tabs>
          <w:tab w:val="left" w:pos="840"/>
          <w:tab w:val="left" w:pos="1160"/>
        </w:tabs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</w:t>
      </w:r>
      <w:r>
        <w:rPr>
          <w:rFonts w:hint="eastAsia" w:ascii="Times New Roman" w:hAnsi="Times New Roman" w:eastAsia="仿宋_GB2312"/>
          <w:sz w:val="32"/>
          <w:szCs w:val="32"/>
        </w:rPr>
        <w:t>构建</w:t>
      </w:r>
      <w:r>
        <w:rPr>
          <w:rFonts w:ascii="Times New Roman" w:hAnsi="Times New Roman" w:eastAsia="仿宋_GB2312"/>
          <w:sz w:val="32"/>
          <w:szCs w:val="32"/>
        </w:rPr>
        <w:t>就业友好型发展方式研究</w:t>
      </w:r>
    </w:p>
    <w:p w14:paraId="3C1A8D7B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2.人工智能发展对服务业就业的影响研究</w:t>
      </w:r>
    </w:p>
    <w:p w14:paraId="189579E2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3.促进青年入乡发展对策研究</w:t>
      </w:r>
    </w:p>
    <w:p w14:paraId="3FAC565E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4</w:t>
      </w:r>
      <w:r>
        <w:rPr>
          <w:rFonts w:ascii="Times New Roman" w:hAnsi="Times New Roman" w:eastAsia="仿宋_GB2312"/>
          <w:sz w:val="32"/>
          <w:szCs w:val="32"/>
        </w:rPr>
        <w:t>.重点群体就业综合帮扶改革研究</w:t>
      </w:r>
    </w:p>
    <w:p w14:paraId="4CDF28F4">
      <w:pPr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5</w:t>
      </w:r>
      <w:r>
        <w:rPr>
          <w:rFonts w:ascii="Times New Roman" w:hAnsi="Times New Roman" w:eastAsia="仿宋_GB2312"/>
          <w:sz w:val="32"/>
          <w:szCs w:val="32"/>
        </w:rPr>
        <w:t>.完善创业带动就业保障机制</w:t>
      </w:r>
      <w:r>
        <w:rPr>
          <w:rFonts w:hint="eastAsia" w:ascii="Times New Roman" w:hAnsi="Times New Roman" w:eastAsia="仿宋_GB2312"/>
          <w:sz w:val="32"/>
          <w:szCs w:val="32"/>
        </w:rPr>
        <w:t>研究</w:t>
      </w:r>
    </w:p>
    <w:p w14:paraId="6637DB1C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6.政企家校协同促进高校毕业生高质量就业研究</w:t>
      </w:r>
    </w:p>
    <w:p w14:paraId="45624B94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7.我省外贸行业就业形势分析及对策研究</w:t>
      </w:r>
    </w:p>
    <w:p w14:paraId="28155116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8.失业人员再就业问题及对策研究</w:t>
      </w:r>
    </w:p>
    <w:p w14:paraId="641925BA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9.深</w:t>
      </w:r>
      <w:r>
        <w:rPr>
          <w:rFonts w:hint="eastAsia" w:eastAsia="仿宋_GB2312"/>
          <w:sz w:val="32"/>
          <w:szCs w:val="32"/>
        </w:rPr>
        <w:t>化东西部劳务协作研究</w:t>
      </w:r>
    </w:p>
    <w:p w14:paraId="3A0894C9">
      <w:pPr>
        <w:spacing w:line="6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10</w:t>
      </w:r>
      <w:r>
        <w:rPr>
          <w:rFonts w:ascii="Times New Roman" w:hAnsi="Times New Roman" w:eastAsia="仿宋_GB2312"/>
          <w:sz w:val="32"/>
          <w:szCs w:val="32"/>
        </w:rPr>
        <w:t>.</w:t>
      </w:r>
      <w:r>
        <w:rPr>
          <w:rFonts w:hint="eastAsia" w:ascii="Times New Roman" w:hAnsi="Times New Roman" w:eastAsia="仿宋_GB2312"/>
          <w:sz w:val="32"/>
          <w:szCs w:val="32"/>
        </w:rPr>
        <w:t>基层</w:t>
      </w:r>
      <w:r>
        <w:rPr>
          <w:rFonts w:ascii="仿宋_GB2312" w:hAnsi="仿宋_GB2312" w:eastAsia="仿宋_GB2312" w:cs="仿宋_GB2312"/>
          <w:sz w:val="32"/>
          <w:szCs w:val="32"/>
        </w:rPr>
        <w:t>就业创业综合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服务站点</w:t>
      </w:r>
      <w:r>
        <w:rPr>
          <w:rFonts w:ascii="仿宋_GB2312" w:hAnsi="仿宋_GB2312" w:eastAsia="仿宋_GB2312" w:cs="仿宋_GB2312"/>
          <w:sz w:val="32"/>
          <w:szCs w:val="32"/>
        </w:rPr>
        <w:t>建设</w:t>
      </w:r>
      <w:r>
        <w:rPr>
          <w:rFonts w:hint="eastAsia" w:ascii="仿宋_GB2312" w:hAnsi="仿宋_GB2312" w:eastAsia="仿宋_GB2312" w:cs="仿宋_GB2312"/>
          <w:sz w:val="32"/>
          <w:szCs w:val="32"/>
        </w:rPr>
        <w:t>研究</w:t>
      </w:r>
    </w:p>
    <w:p w14:paraId="354EDF04">
      <w:pPr>
        <w:spacing w:line="62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（二）社会保障</w:t>
      </w:r>
    </w:p>
    <w:p w14:paraId="5688E9C2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1.人口老龄化对养老保险基金运行影响及对策研究</w:t>
      </w:r>
    </w:p>
    <w:p w14:paraId="3833A4D0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2.延迟退休年龄对养老保险基金可持续性影响分析研究</w:t>
      </w:r>
    </w:p>
    <w:p w14:paraId="5B011701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3.事业单位实施渐进式延迟法定退休年龄改革情况、存在问题及对策研究</w:t>
      </w:r>
    </w:p>
    <w:p w14:paraId="617C3241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4.新就业形态劳动者养老保险参保机制研究</w:t>
      </w:r>
    </w:p>
    <w:p w14:paraId="0F18DE6D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5.城乡居民基本养老保险待遇动态调整机制研究‌</w:t>
      </w:r>
    </w:p>
    <w:p w14:paraId="7B2EB62F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6.扩大企业年金覆盖范围路径研究</w:t>
      </w:r>
    </w:p>
    <w:p w14:paraId="0B562AF7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7.第三支柱养老保险产品创新与政策支持体系研究</w:t>
      </w:r>
    </w:p>
    <w:p w14:paraId="17D399BA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8.商业保险与社会保险协同发展机制研究</w:t>
      </w:r>
    </w:p>
    <w:p w14:paraId="7E4482DB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9.金融机构养老财富管理服务与社保体系衔接机制‌研究</w:t>
      </w:r>
    </w:p>
    <w:p w14:paraId="4891BF6F">
      <w:pPr>
        <w:pStyle w:val="2"/>
        <w:tabs>
          <w:tab w:val="center" w:pos="4153"/>
          <w:tab w:val="right" w:pos="8306"/>
        </w:tabs>
        <w:adjustRightInd w:val="0"/>
        <w:spacing w:line="620" w:lineRule="exact"/>
        <w:ind w:firstLine="640" w:firstLineChars="200"/>
        <w:rPr>
          <w:rFonts w:hint="eastAsia" w:ascii="Times New Roman" w:hAnsi="Times New Roman" w:eastAsia="仿宋_GB2312"/>
          <w:color w:val="FF0000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10.建筑领域工伤预防机制研究</w:t>
      </w:r>
    </w:p>
    <w:p w14:paraId="470BBEE1">
      <w:pPr>
        <w:tabs>
          <w:tab w:val="left" w:pos="6110"/>
        </w:tabs>
        <w:spacing w:line="62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（三）人才人事</w:t>
      </w:r>
    </w:p>
    <w:p w14:paraId="6A079BE2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</w:t>
      </w:r>
      <w:r>
        <w:rPr>
          <w:rFonts w:hint="eastAsia" w:ascii="Times New Roman" w:hAnsi="Times New Roman" w:eastAsia="仿宋_GB2312"/>
          <w:sz w:val="32"/>
          <w:szCs w:val="32"/>
        </w:rPr>
        <w:t>完善</w:t>
      </w:r>
      <w:r>
        <w:rPr>
          <w:rFonts w:ascii="Times New Roman" w:hAnsi="Times New Roman" w:eastAsia="仿宋_GB2312"/>
          <w:sz w:val="32"/>
          <w:szCs w:val="32"/>
        </w:rPr>
        <w:t>人才服务体系研究</w:t>
      </w:r>
    </w:p>
    <w:p w14:paraId="45F8BC70">
      <w:pPr>
        <w:spacing w:line="620" w:lineRule="exact"/>
        <w:rPr>
          <w:rFonts w:ascii="Times New Roman" w:hAnsi="Times New Roman"/>
        </w:rPr>
      </w:pPr>
      <w:r>
        <w:rPr>
          <w:rFonts w:ascii="Times New Roman" w:hAnsi="Times New Roman" w:eastAsia="仿宋_GB2312"/>
          <w:sz w:val="32"/>
          <w:szCs w:val="32"/>
        </w:rPr>
        <w:t>　　2.</w:t>
      </w:r>
      <w:r>
        <w:rPr>
          <w:rFonts w:hint="eastAsia" w:ascii="Times New Roman" w:hAnsi="Times New Roman" w:eastAsia="仿宋_GB2312"/>
          <w:sz w:val="32"/>
          <w:szCs w:val="32"/>
        </w:rPr>
        <w:t>立体化人才引育体系研究</w:t>
      </w:r>
    </w:p>
    <w:p w14:paraId="5B442FA1">
      <w:pPr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</w:t>
      </w:r>
      <w:r>
        <w:rPr>
          <w:rFonts w:hint="eastAsia" w:ascii="Times New Roman" w:hAnsi="Times New Roman" w:eastAsia="仿宋_GB2312"/>
          <w:sz w:val="32"/>
          <w:szCs w:val="32"/>
        </w:rPr>
        <w:t>深化人才交流制度改革研究</w:t>
      </w:r>
    </w:p>
    <w:p w14:paraId="47D4BACF">
      <w:pPr>
        <w:spacing w:line="62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4.深化人力资源服务增值化改革研究</w:t>
      </w:r>
    </w:p>
    <w:p w14:paraId="70D6269E">
      <w:pPr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5.项目化职业技能培训模式研究</w:t>
      </w:r>
    </w:p>
    <w:p w14:paraId="6F79ED51">
      <w:pPr>
        <w:spacing w:line="620" w:lineRule="exact"/>
        <w:ind w:left="638" w:leftChars="304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6</w:t>
      </w:r>
      <w:r>
        <w:rPr>
          <w:rFonts w:ascii="Times New Roman" w:hAnsi="Times New Roman" w:eastAsia="仿宋_GB2312"/>
          <w:sz w:val="32"/>
          <w:szCs w:val="32"/>
        </w:rPr>
        <w:t>.</w:t>
      </w:r>
      <w:r>
        <w:rPr>
          <w:rFonts w:hint="eastAsia" w:ascii="Times New Roman" w:hAnsi="Times New Roman" w:eastAsia="仿宋_GB2312"/>
          <w:sz w:val="32"/>
          <w:szCs w:val="32"/>
        </w:rPr>
        <w:t>社会评价机构职业技能等级认定问题及对策研究</w:t>
      </w:r>
    </w:p>
    <w:p w14:paraId="2914159F">
      <w:pPr>
        <w:spacing w:line="620" w:lineRule="exact"/>
        <w:ind w:left="638" w:leftChars="304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7.企业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Times New Roman" w:hAnsi="Times New Roman" w:eastAsia="仿宋_GB2312"/>
          <w:sz w:val="32"/>
          <w:szCs w:val="32"/>
        </w:rPr>
        <w:t>新八级工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hint="eastAsia" w:ascii="Times New Roman" w:hAnsi="Times New Roman" w:eastAsia="仿宋_GB2312"/>
          <w:sz w:val="32"/>
          <w:szCs w:val="32"/>
        </w:rPr>
        <w:t>制度实施现状、问题及对策研究</w:t>
      </w:r>
    </w:p>
    <w:p w14:paraId="08F28458">
      <w:pPr>
        <w:spacing w:line="620" w:lineRule="exact"/>
        <w:ind w:left="638" w:leftChars="304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8.留学归国人员就业创业需求分析及对策研究</w:t>
      </w:r>
      <w:r>
        <w:rPr>
          <w:rFonts w:ascii="Times New Roman" w:hAnsi="Times New Roman" w:eastAsia="仿宋_GB2312"/>
          <w:sz w:val="32"/>
          <w:szCs w:val="32"/>
        </w:rPr>
        <w:br w:type="textWrapping"/>
      </w:r>
      <w:r>
        <w:rPr>
          <w:rFonts w:hint="eastAsia" w:ascii="Times New Roman" w:hAnsi="Times New Roman" w:eastAsia="仿宋_GB2312"/>
          <w:sz w:val="32"/>
          <w:szCs w:val="32"/>
        </w:rPr>
        <w:t>9</w:t>
      </w:r>
      <w:r>
        <w:rPr>
          <w:rFonts w:ascii="Times New Roman" w:hAnsi="Times New Roman" w:eastAsia="仿宋_GB2312"/>
          <w:sz w:val="32"/>
          <w:szCs w:val="32"/>
        </w:rPr>
        <w:t>.</w:t>
      </w:r>
      <w:r>
        <w:rPr>
          <w:rFonts w:hint="eastAsia" w:ascii="Times New Roman" w:hAnsi="Times New Roman" w:eastAsia="仿宋_GB2312"/>
          <w:sz w:val="32"/>
          <w:szCs w:val="32"/>
        </w:rPr>
        <w:t>深化技工院校校企合作、产教融合研究</w:t>
      </w:r>
    </w:p>
    <w:p w14:paraId="5C04A51B">
      <w:pPr>
        <w:spacing w:line="620" w:lineRule="exact"/>
        <w:ind w:left="958" w:leftChars="304" w:hanging="320" w:hanging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</w:rPr>
        <w:t>0</w:t>
      </w:r>
      <w:r>
        <w:rPr>
          <w:rFonts w:ascii="Times New Roman" w:hAnsi="Times New Roman" w:eastAsia="仿宋_GB2312"/>
          <w:sz w:val="32"/>
          <w:szCs w:val="32"/>
        </w:rPr>
        <w:t>.</w:t>
      </w:r>
      <w:r>
        <w:rPr>
          <w:rFonts w:hint="eastAsia" w:ascii="Times New Roman" w:hAnsi="Times New Roman" w:eastAsia="仿宋_GB2312"/>
          <w:sz w:val="32"/>
          <w:szCs w:val="32"/>
        </w:rPr>
        <w:t>国外</w:t>
      </w:r>
      <w:r>
        <w:rPr>
          <w:rFonts w:hint="eastAsia" w:ascii="仿宋_GB2312" w:hAnsi="仿宋_GB2312" w:eastAsia="仿宋_GB2312" w:cs="仿宋_GB2312"/>
          <w:sz w:val="32"/>
          <w:szCs w:val="32"/>
        </w:rPr>
        <w:t>科技人才引育留用经验借鉴与启示研究</w:t>
      </w:r>
    </w:p>
    <w:p w14:paraId="6CE98181">
      <w:pPr>
        <w:spacing w:line="620" w:lineRule="exact"/>
        <w:ind w:left="958" w:leftChars="304" w:hanging="320" w:hangingChars="1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（四）劳动关系</w:t>
      </w:r>
    </w:p>
    <w:p w14:paraId="403FFD0C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</w:t>
      </w:r>
      <w:r>
        <w:rPr>
          <w:rFonts w:hint="eastAsia" w:ascii="Times New Roman" w:hAnsi="Times New Roman" w:eastAsia="仿宋_GB2312"/>
          <w:sz w:val="32"/>
          <w:szCs w:val="32"/>
        </w:rPr>
        <w:t>依托产业链供应链推进和谐劳动关系创建研究</w:t>
      </w:r>
    </w:p>
    <w:p w14:paraId="23DFB0F7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仿宋_GB2312"/>
          <w:sz w:val="32"/>
          <w:szCs w:val="32"/>
        </w:rPr>
        <w:t>2.</w:t>
      </w:r>
      <w:r>
        <w:rPr>
          <w:rFonts w:hint="eastAsia" w:ascii="Times New Roman" w:hAnsi="Times New Roman" w:eastAsia="仿宋_GB2312"/>
          <w:sz w:val="32"/>
          <w:szCs w:val="32"/>
        </w:rPr>
        <w:t>劳动关系领域社会稳定风险防范机制研究</w:t>
      </w:r>
    </w:p>
    <w:p w14:paraId="537A4588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</w:t>
      </w:r>
      <w:r>
        <w:rPr>
          <w:rFonts w:hint="eastAsia" w:ascii="Times New Roman" w:hAnsi="Times New Roman" w:eastAsia="仿宋_GB2312"/>
          <w:sz w:val="32"/>
          <w:szCs w:val="32"/>
        </w:rPr>
        <w:t>完善企业职工工资正常增长机制研究</w:t>
      </w:r>
    </w:p>
    <w:p w14:paraId="1F9ABEDC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</w:t>
      </w:r>
      <w:r>
        <w:rPr>
          <w:rFonts w:hint="eastAsia" w:ascii="Times New Roman" w:hAnsi="Times New Roman" w:eastAsia="仿宋_GB2312"/>
          <w:sz w:val="32"/>
          <w:szCs w:val="32"/>
        </w:rPr>
        <w:t>技能人才起点薪酬制度研究</w:t>
      </w:r>
    </w:p>
    <w:p w14:paraId="4E160B1C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</w:t>
      </w:r>
      <w:r>
        <w:rPr>
          <w:rFonts w:hint="eastAsia" w:ascii="Times New Roman" w:hAnsi="Times New Roman" w:eastAsia="仿宋_GB2312"/>
          <w:sz w:val="32"/>
          <w:szCs w:val="32"/>
        </w:rPr>
        <w:t>新生代农民工职业发展问题及对策研究</w:t>
      </w:r>
    </w:p>
    <w:p w14:paraId="430B5907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</w:t>
      </w:r>
      <w:r>
        <w:rPr>
          <w:rFonts w:hint="eastAsia" w:ascii="Times New Roman" w:hAnsi="Times New Roman" w:eastAsia="仿宋_GB2312"/>
          <w:sz w:val="32"/>
          <w:szCs w:val="32"/>
        </w:rPr>
        <w:t>优化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Times New Roman" w:hAnsi="Times New Roman" w:eastAsia="仿宋_GB2312"/>
          <w:sz w:val="32"/>
          <w:szCs w:val="32"/>
        </w:rPr>
        <w:t>开工第一课</w:t>
      </w:r>
      <w:r>
        <w:rPr>
          <w:rFonts w:hint="eastAsia" w:ascii="仿宋_GB2312" w:hAnsi="仿宋_GB2312" w:eastAsia="仿宋_GB2312" w:cs="仿宋_GB2312"/>
          <w:sz w:val="32"/>
          <w:szCs w:val="32"/>
        </w:rPr>
        <w:t>”服务体系</w:t>
      </w:r>
      <w:r>
        <w:rPr>
          <w:rFonts w:hint="eastAsia" w:ascii="Times New Roman" w:hAnsi="Times New Roman" w:eastAsia="仿宋_GB2312"/>
          <w:sz w:val="32"/>
          <w:szCs w:val="32"/>
        </w:rPr>
        <w:t>研究</w:t>
      </w:r>
    </w:p>
    <w:p w14:paraId="28DF5421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7.</w:t>
      </w:r>
      <w:r>
        <w:rPr>
          <w:rFonts w:hint="eastAsia" w:ascii="Times New Roman" w:hAnsi="Times New Roman" w:eastAsia="仿宋_GB2312"/>
          <w:sz w:val="32"/>
          <w:szCs w:val="32"/>
        </w:rPr>
        <w:t>完善新就业形态劳动争议多元化解机制研究</w:t>
      </w:r>
    </w:p>
    <w:p w14:paraId="1BED3C02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8.</w:t>
      </w:r>
      <w:r>
        <w:rPr>
          <w:rFonts w:hint="eastAsia" w:ascii="Times New Roman" w:hAnsi="Times New Roman" w:eastAsia="仿宋_GB2312"/>
          <w:sz w:val="32"/>
          <w:szCs w:val="32"/>
        </w:rPr>
        <w:t>重点行业</w:t>
      </w:r>
      <w:r>
        <w:rPr>
          <w:rFonts w:ascii="Times New Roman" w:hAnsi="Times New Roman" w:eastAsia="仿宋_GB2312"/>
          <w:sz w:val="32"/>
          <w:szCs w:val="32"/>
        </w:rPr>
        <w:t>欠薪</w:t>
      </w:r>
      <w:r>
        <w:rPr>
          <w:rFonts w:hint="eastAsia" w:ascii="Times New Roman" w:hAnsi="Times New Roman" w:eastAsia="仿宋_GB2312"/>
          <w:sz w:val="32"/>
          <w:szCs w:val="32"/>
        </w:rPr>
        <w:t>协同</w:t>
      </w:r>
      <w:r>
        <w:rPr>
          <w:rFonts w:ascii="Times New Roman" w:hAnsi="Times New Roman" w:eastAsia="仿宋_GB2312"/>
          <w:sz w:val="32"/>
          <w:szCs w:val="32"/>
        </w:rPr>
        <w:t>治理研究</w:t>
      </w:r>
    </w:p>
    <w:p w14:paraId="484013C9">
      <w:pPr>
        <w:spacing w:line="620" w:lineRule="exact"/>
        <w:ind w:left="958" w:leftChars="304" w:hanging="320" w:hangingChars="1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9.新形势下劳动关系理论探索研究</w:t>
      </w:r>
    </w:p>
    <w:p w14:paraId="0FE065CB">
      <w:pPr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10.外</w:t>
      </w:r>
      <w:r>
        <w:rPr>
          <w:rFonts w:hint="eastAsia" w:ascii="仿宋_GB2312" w:hAnsi="仿宋_GB2312" w:eastAsia="仿宋_GB2312" w:cs="仿宋_GB2312"/>
          <w:sz w:val="32"/>
          <w:szCs w:val="32"/>
        </w:rPr>
        <w:t>国人来华工作劳动法律问题研究</w:t>
      </w:r>
    </w:p>
    <w:p w14:paraId="06742E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12" w:usb3="00000000" w:csb0="00040001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8DC011"/>
    <w:multiLevelType w:val="singleLevel"/>
    <w:tmpl w:val="E98DC011"/>
    <w:lvl w:ilvl="0" w:tentative="0">
      <w:start w:val="2"/>
      <w:numFmt w:val="chineseCounting"/>
      <w:suff w:val="nothing"/>
      <w:lvlText w:val="%1、"/>
      <w:lvlJc w:val="left"/>
      <w:pPr>
        <w:ind w:left="640" w:firstLine="0"/>
      </w:pPr>
      <w:rPr>
        <w:rFonts w:hint="eastAsia"/>
      </w:rPr>
    </w:lvl>
  </w:abstractNum>
  <w:abstractNum w:abstractNumId="1">
    <w:nsid w:val="EFFEA672"/>
    <w:multiLevelType w:val="singleLevel"/>
    <w:tmpl w:val="EFFEA67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FDBE8B9A"/>
    <w:multiLevelType w:val="singleLevel"/>
    <w:tmpl w:val="FDBE8B9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5DB8FE4"/>
    <w:multiLevelType w:val="singleLevel"/>
    <w:tmpl w:val="75DB8FE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DF"/>
    <w:rsid w:val="00C67FAF"/>
    <w:rsid w:val="00F363DF"/>
    <w:rsid w:val="3D8C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link w:val="6"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眉 字符"/>
    <w:basedOn w:val="5"/>
    <w:link w:val="3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2305</Words>
  <Characters>2354</Characters>
  <Lines>17</Lines>
  <Paragraphs>4</Paragraphs>
  <TotalTime>1</TotalTime>
  <ScaleCrop>false</ScaleCrop>
  <LinksUpToDate>false</LinksUpToDate>
  <CharactersWithSpaces>2356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2025-03-17T05:28:00Z</dcterms:created>
  <dc:creator>周</dc:creator>
  <cp:lastModifiedBy>汤汤爱吃泡饭的汤汤</cp:lastModifiedBy>
  <dcterms:modified xsi:type="dcterms:W3CDTF">2025-03-24T02:50:17Z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DFB636B5A27A4FE1A1DF617599408607_13</vt:lpwstr>
  </property>
</Properties>
</file>