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bCs/>
          <w:sz w:val="30"/>
          <w:szCs w:val="30"/>
        </w:rPr>
      </w:pPr>
    </w:p>
    <w:p>
      <w:pPr>
        <w:snapToGrid w:val="0"/>
        <w:spacing w:line="360" w:lineRule="auto"/>
        <w:jc w:val="center"/>
        <w:rPr>
          <w:rFonts w:hint="default" w:ascii="宋体" w:hAnsi="宋体" w:eastAsia="仿宋"/>
          <w:bCs/>
          <w:sz w:val="28"/>
          <w:szCs w:val="28"/>
          <w:lang w:val="en-US" w:eastAsia="zh-CN"/>
        </w:rPr>
      </w:pPr>
      <w:r>
        <w:rPr>
          <w:rFonts w:hint="eastAsia" w:ascii="宋体" w:hAnsi="宋体"/>
          <w:bCs/>
          <w:sz w:val="24"/>
        </w:rPr>
        <w:t xml:space="preserve">                                        </w:t>
      </w:r>
      <w:r>
        <w:rPr>
          <w:rFonts w:hint="eastAsia" w:ascii="宋体" w:hAnsi="宋体"/>
          <w:bCs/>
          <w:sz w:val="28"/>
          <w:szCs w:val="28"/>
        </w:rPr>
        <w:t xml:space="preserve"> </w:t>
      </w:r>
      <w:r>
        <w:rPr>
          <w:rFonts w:hint="eastAsia" w:ascii="宋体" w:hAnsi="宋体"/>
          <w:bCs/>
          <w:sz w:val="28"/>
          <w:szCs w:val="28"/>
        </w:rPr>
        <w:t xml:space="preserve"> </w:t>
      </w:r>
      <w:r>
        <w:rPr>
          <w:rFonts w:hint="eastAsia" w:ascii="仿宋" w:hAnsi="仿宋" w:eastAsia="仿宋" w:cs="仿宋"/>
          <w:bCs/>
          <w:sz w:val="28"/>
          <w:szCs w:val="28"/>
        </w:rPr>
        <w:t>采购编号：lszjy20</w:t>
      </w:r>
      <w:r>
        <w:rPr>
          <w:rFonts w:hint="eastAsia" w:ascii="仿宋" w:hAnsi="仿宋" w:eastAsia="仿宋" w:cs="仿宋"/>
          <w:bCs/>
          <w:sz w:val="28"/>
          <w:szCs w:val="28"/>
          <w:lang w:val="en-US" w:eastAsia="zh-CN"/>
        </w:rPr>
        <w:t>201104</w:t>
      </w:r>
    </w:p>
    <w:p>
      <w:pPr>
        <w:snapToGrid w:val="0"/>
        <w:spacing w:line="360" w:lineRule="auto"/>
        <w:jc w:val="center"/>
        <w:rPr>
          <w:rFonts w:hint="eastAsia" w:ascii="宋体" w:hAnsi="宋体"/>
          <w:bCs/>
          <w:sz w:val="48"/>
          <w:szCs w:val="48"/>
          <w:lang w:eastAsia="zh-CN"/>
        </w:rPr>
      </w:pPr>
    </w:p>
    <w:p>
      <w:pPr>
        <w:snapToGrid w:val="0"/>
        <w:spacing w:line="360" w:lineRule="auto"/>
        <w:jc w:val="center"/>
        <w:rPr>
          <w:rFonts w:hint="eastAsia" w:ascii="仿宋_GB2312" w:hAnsi="仿宋_GB2312" w:eastAsia="仿宋_GB2312" w:cs="仿宋_GB2312"/>
          <w:b w:val="0"/>
          <w:bCs/>
          <w:sz w:val="48"/>
          <w:szCs w:val="48"/>
        </w:rPr>
      </w:pPr>
      <w:r>
        <w:rPr>
          <w:rFonts w:hint="eastAsia" w:ascii="仿宋_GB2312" w:hAnsi="仿宋_GB2312" w:eastAsia="仿宋_GB2312" w:cs="仿宋_GB2312"/>
          <w:b w:val="0"/>
          <w:bCs/>
          <w:sz w:val="48"/>
          <w:szCs w:val="48"/>
        </w:rPr>
        <w:t>信息系统定级备案测评服务</w:t>
      </w:r>
      <w:r>
        <w:rPr>
          <w:rFonts w:hint="eastAsia" w:ascii="仿宋_GB2312" w:hAnsi="仿宋_GB2312" w:eastAsia="仿宋_GB2312" w:cs="仿宋_GB2312"/>
          <w:b w:val="0"/>
          <w:bCs/>
          <w:sz w:val="48"/>
          <w:szCs w:val="48"/>
          <w:lang w:eastAsia="zh-CN"/>
        </w:rPr>
        <w:t>采购项目</w:t>
      </w:r>
    </w:p>
    <w:p>
      <w:pPr>
        <w:snapToGrid w:val="0"/>
        <w:spacing w:line="360" w:lineRule="auto"/>
        <w:jc w:val="center"/>
        <w:rPr>
          <w:rFonts w:hint="eastAsia" w:ascii="楷体" w:hAnsi="楷体" w:eastAsia="楷体" w:cs="楷体"/>
          <w:bCs/>
          <w:sz w:val="52"/>
          <w:szCs w:val="52"/>
        </w:rPr>
      </w:pPr>
    </w:p>
    <w:p>
      <w:pPr>
        <w:snapToGrid w:val="0"/>
        <w:spacing w:line="360" w:lineRule="auto"/>
        <w:jc w:val="center"/>
        <w:rPr>
          <w:rFonts w:hint="eastAsia" w:ascii="楷体" w:hAnsi="楷体" w:eastAsia="楷体" w:cs="楷体"/>
          <w:bCs/>
          <w:sz w:val="52"/>
          <w:szCs w:val="52"/>
        </w:rPr>
      </w:pPr>
      <w:r>
        <w:rPr>
          <w:rFonts w:hint="eastAsia" w:ascii="楷体" w:hAnsi="楷体" w:eastAsia="楷体" w:cs="楷体"/>
          <w:bCs/>
          <w:sz w:val="52"/>
          <w:szCs w:val="52"/>
        </w:rPr>
        <w:t>询</w:t>
      </w:r>
    </w:p>
    <w:p>
      <w:pPr>
        <w:snapToGrid w:val="0"/>
        <w:spacing w:line="360" w:lineRule="auto"/>
        <w:jc w:val="center"/>
        <w:rPr>
          <w:rFonts w:hint="eastAsia" w:ascii="楷体" w:hAnsi="楷体" w:eastAsia="楷体" w:cs="楷体"/>
          <w:bCs/>
          <w:sz w:val="52"/>
          <w:szCs w:val="52"/>
        </w:rPr>
      </w:pPr>
      <w:r>
        <w:rPr>
          <w:rFonts w:hint="eastAsia" w:ascii="楷体" w:hAnsi="楷体" w:eastAsia="楷体" w:cs="楷体"/>
          <w:bCs/>
          <w:sz w:val="52"/>
          <w:szCs w:val="52"/>
        </w:rPr>
        <w:t>价</w:t>
      </w:r>
    </w:p>
    <w:p>
      <w:pPr>
        <w:snapToGrid w:val="0"/>
        <w:spacing w:line="360" w:lineRule="auto"/>
        <w:jc w:val="center"/>
        <w:rPr>
          <w:rFonts w:hint="eastAsia" w:ascii="楷体" w:hAnsi="楷体" w:eastAsia="楷体" w:cs="楷体"/>
          <w:bCs/>
          <w:sz w:val="52"/>
          <w:szCs w:val="52"/>
        </w:rPr>
      </w:pPr>
      <w:r>
        <w:rPr>
          <w:rFonts w:hint="eastAsia" w:ascii="楷体" w:hAnsi="楷体" w:eastAsia="楷体" w:cs="楷体"/>
          <w:bCs/>
          <w:sz w:val="52"/>
          <w:szCs w:val="52"/>
        </w:rPr>
        <w:t>文</w:t>
      </w:r>
    </w:p>
    <w:p>
      <w:pPr>
        <w:snapToGrid w:val="0"/>
        <w:spacing w:line="360" w:lineRule="auto"/>
        <w:jc w:val="center"/>
        <w:rPr>
          <w:rFonts w:hint="eastAsia" w:ascii="楷体" w:hAnsi="楷体" w:eastAsia="楷体" w:cs="楷体"/>
          <w:bCs/>
          <w:sz w:val="52"/>
          <w:szCs w:val="52"/>
        </w:rPr>
      </w:pPr>
      <w:r>
        <w:rPr>
          <w:rFonts w:hint="eastAsia" w:ascii="楷体" w:hAnsi="楷体" w:eastAsia="楷体" w:cs="楷体"/>
          <w:bCs/>
          <w:sz w:val="52"/>
          <w:szCs w:val="52"/>
        </w:rPr>
        <w:t>件</w:t>
      </w:r>
    </w:p>
    <w:p>
      <w:pPr>
        <w:snapToGrid w:val="0"/>
        <w:spacing w:line="360" w:lineRule="auto"/>
        <w:ind w:firstLine="2502" w:firstLineChars="695"/>
        <w:rPr>
          <w:rFonts w:hint="eastAsia" w:ascii="宋体" w:hAnsi="宋体"/>
          <w:bCs/>
          <w:sz w:val="36"/>
          <w:szCs w:val="36"/>
        </w:rPr>
      </w:pPr>
    </w:p>
    <w:p>
      <w:pPr>
        <w:snapToGrid w:val="0"/>
        <w:spacing w:line="360" w:lineRule="auto"/>
        <w:ind w:firstLine="2502" w:firstLineChars="695"/>
        <w:rPr>
          <w:rFonts w:hint="eastAsia" w:ascii="楷体" w:hAnsi="楷体" w:eastAsia="楷体" w:cs="楷体"/>
          <w:bCs/>
          <w:sz w:val="36"/>
          <w:szCs w:val="36"/>
        </w:rPr>
      </w:pPr>
      <w:r>
        <w:rPr>
          <w:rFonts w:hint="eastAsia" w:ascii="楷体" w:hAnsi="楷体" w:eastAsia="楷体" w:cs="楷体"/>
          <w:bCs/>
          <w:sz w:val="36"/>
          <w:szCs w:val="36"/>
        </w:rPr>
        <w:t>采购人：丽水职业技术学院</w:t>
      </w:r>
    </w:p>
    <w:p>
      <w:pPr>
        <w:snapToGrid w:val="0"/>
        <w:spacing w:line="360" w:lineRule="auto"/>
        <w:ind w:firstLine="4129" w:firstLineChars="1147"/>
        <w:rPr>
          <w:rFonts w:hint="eastAsia" w:ascii="楷体" w:hAnsi="楷体" w:eastAsia="楷体" w:cs="楷体"/>
          <w:bCs/>
          <w:sz w:val="36"/>
          <w:szCs w:val="36"/>
        </w:rPr>
      </w:pPr>
    </w:p>
    <w:p>
      <w:pPr>
        <w:snapToGrid w:val="0"/>
        <w:spacing w:line="360" w:lineRule="auto"/>
        <w:ind w:firstLine="3221" w:firstLineChars="895"/>
        <w:rPr>
          <w:rFonts w:hint="eastAsia" w:ascii="楷体" w:hAnsi="楷体" w:eastAsia="楷体" w:cs="楷体"/>
          <w:bCs/>
          <w:sz w:val="36"/>
          <w:szCs w:val="36"/>
        </w:rPr>
      </w:pPr>
      <w:r>
        <w:rPr>
          <w:rFonts w:hint="eastAsia" w:ascii="楷体" w:hAnsi="楷体" w:eastAsia="楷体" w:cs="楷体"/>
          <w:bCs/>
          <w:sz w:val="36"/>
          <w:szCs w:val="36"/>
        </w:rPr>
        <w:t>20</w:t>
      </w:r>
      <w:r>
        <w:rPr>
          <w:rFonts w:hint="eastAsia" w:ascii="楷体" w:hAnsi="楷体" w:eastAsia="楷体" w:cs="楷体"/>
          <w:bCs/>
          <w:sz w:val="36"/>
          <w:szCs w:val="36"/>
          <w:lang w:val="en-US" w:eastAsia="zh-CN"/>
        </w:rPr>
        <w:t>20</w:t>
      </w:r>
      <w:r>
        <w:rPr>
          <w:rFonts w:hint="eastAsia" w:ascii="楷体" w:hAnsi="楷体" w:eastAsia="楷体" w:cs="楷体"/>
          <w:bCs/>
          <w:sz w:val="36"/>
          <w:szCs w:val="36"/>
        </w:rPr>
        <w:t>年</w:t>
      </w:r>
      <w:r>
        <w:rPr>
          <w:rFonts w:hint="eastAsia" w:ascii="楷体" w:hAnsi="楷体" w:eastAsia="楷体" w:cs="楷体"/>
          <w:bCs/>
          <w:sz w:val="36"/>
          <w:szCs w:val="36"/>
          <w:lang w:val="en-US" w:eastAsia="zh-CN"/>
        </w:rPr>
        <w:t>11</w:t>
      </w:r>
      <w:r>
        <w:rPr>
          <w:rFonts w:hint="eastAsia" w:ascii="楷体" w:hAnsi="楷体" w:eastAsia="楷体" w:cs="楷体"/>
          <w:bCs/>
          <w:sz w:val="36"/>
          <w:szCs w:val="36"/>
        </w:rPr>
        <w:t>月</w:t>
      </w:r>
      <w:r>
        <w:rPr>
          <w:rFonts w:hint="eastAsia" w:ascii="楷体" w:hAnsi="楷体" w:eastAsia="楷体" w:cs="楷体"/>
          <w:bCs/>
          <w:sz w:val="36"/>
          <w:szCs w:val="36"/>
          <w:lang w:val="en-US" w:eastAsia="zh-CN"/>
        </w:rPr>
        <w:t>04</w:t>
      </w:r>
      <w:r>
        <w:rPr>
          <w:rFonts w:hint="eastAsia" w:ascii="楷体" w:hAnsi="楷体" w:eastAsia="楷体" w:cs="楷体"/>
          <w:bCs/>
          <w:sz w:val="36"/>
          <w:szCs w:val="36"/>
        </w:rPr>
        <w:t>日</w:t>
      </w:r>
    </w:p>
    <w:p>
      <w:pPr>
        <w:rPr>
          <w:rStyle w:val="7"/>
          <w:rFonts w:hint="eastAsia" w:ascii="仿宋" w:hAnsi="仿宋" w:eastAsia="仿宋" w:cs="仿宋"/>
          <w:b w:val="0"/>
          <w:bCs/>
          <w:color w:val="333333"/>
          <w:sz w:val="28"/>
          <w:szCs w:val="28"/>
          <w:shd w:val="clear" w:color="auto" w:fill="FFFFFF"/>
        </w:rPr>
      </w:pPr>
      <w:r>
        <w:rPr>
          <w:rStyle w:val="7"/>
          <w:rFonts w:hint="eastAsia" w:ascii="仿宋" w:hAnsi="仿宋" w:eastAsia="仿宋" w:cs="仿宋"/>
          <w:b w:val="0"/>
          <w:bCs/>
          <w:color w:val="333333"/>
          <w:sz w:val="28"/>
          <w:szCs w:val="28"/>
          <w:shd w:val="clear" w:color="auto" w:fill="FFFFFF"/>
        </w:rPr>
        <w:br w:type="page"/>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jc w:val="right"/>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rPr>
        <w:t>采购编号：lszjy20</w:t>
      </w:r>
      <w:r>
        <w:rPr>
          <w:rFonts w:hint="eastAsia" w:ascii="仿宋" w:hAnsi="仿宋" w:eastAsia="仿宋" w:cs="仿宋"/>
          <w:bCs/>
          <w:sz w:val="24"/>
          <w:szCs w:val="24"/>
          <w:lang w:val="en-US" w:eastAsia="zh-CN"/>
        </w:rPr>
        <w:t>201104</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jc w:val="right"/>
        <w:textAlignment w:val="auto"/>
        <w:rPr>
          <w:rFonts w:hint="eastAsia" w:ascii="仿宋" w:hAnsi="仿宋" w:eastAsia="仿宋" w:cs="仿宋"/>
          <w:bCs/>
          <w:sz w:val="24"/>
          <w:szCs w:val="24"/>
          <w:lang w:val="en-US" w:eastAsia="zh-CN"/>
        </w:rPr>
      </w:pP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bCs/>
          <w:sz w:val="24"/>
          <w:szCs w:val="24"/>
          <w:lang w:val="en-US" w:eastAsia="zh-CN"/>
        </w:rPr>
      </w:pPr>
      <w:r>
        <w:rPr>
          <w:rStyle w:val="7"/>
          <w:rFonts w:hint="eastAsia" w:ascii="仿宋" w:hAnsi="仿宋" w:eastAsia="仿宋" w:cs="仿宋"/>
          <w:b w:val="0"/>
          <w:bCs/>
          <w:color w:val="333333"/>
          <w:sz w:val="28"/>
          <w:szCs w:val="28"/>
          <w:shd w:val="clear" w:color="auto" w:fill="FFFFFF"/>
        </w:rPr>
        <w:t>丽水职业技术学院</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60" w:lineRule="auto"/>
        <w:ind w:left="0"/>
        <w:jc w:val="center"/>
        <w:textAlignment w:val="auto"/>
        <w:rPr>
          <w:rStyle w:val="7"/>
          <w:rFonts w:hint="eastAsia" w:ascii="仿宋" w:hAnsi="仿宋" w:eastAsia="仿宋" w:cs="仿宋"/>
          <w:b/>
          <w:bCs w:val="0"/>
          <w:color w:val="333333"/>
          <w:sz w:val="28"/>
          <w:szCs w:val="28"/>
          <w:shd w:val="clear" w:color="auto" w:fill="FFFFFF"/>
          <w:lang w:eastAsia="zh-CN"/>
        </w:rPr>
      </w:pPr>
      <w:r>
        <w:rPr>
          <w:rStyle w:val="7"/>
          <w:rFonts w:hint="eastAsia" w:ascii="仿宋_GB2312" w:hAnsi="仿宋_GB2312" w:eastAsia="仿宋_GB2312" w:cs="仿宋_GB2312"/>
          <w:b/>
          <w:bCs w:val="0"/>
          <w:color w:val="333333"/>
          <w:sz w:val="28"/>
          <w:szCs w:val="28"/>
          <w:shd w:val="clear" w:color="auto" w:fill="FFFFFF"/>
        </w:rPr>
        <w:t>信息系统定级备案测评服务</w:t>
      </w:r>
      <w:r>
        <w:rPr>
          <w:rFonts w:hint="eastAsia" w:ascii="仿宋_GB2312" w:hAnsi="仿宋_GB2312" w:eastAsia="仿宋_GB2312" w:cs="仿宋_GB2312"/>
          <w:b/>
          <w:bCs w:val="0"/>
          <w:sz w:val="28"/>
          <w:szCs w:val="28"/>
        </w:rPr>
        <w:t>采购项目</w:t>
      </w:r>
      <w:r>
        <w:rPr>
          <w:rFonts w:hint="eastAsia" w:ascii="仿宋_GB2312" w:hAnsi="仿宋_GB2312" w:eastAsia="仿宋_GB2312" w:cs="仿宋_GB2312"/>
          <w:b/>
          <w:bCs w:val="0"/>
          <w:sz w:val="28"/>
          <w:szCs w:val="28"/>
          <w:lang w:eastAsia="zh-CN"/>
        </w:rPr>
        <w:t>询价文件</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jc w:val="right"/>
        <w:textAlignment w:val="auto"/>
        <w:rPr>
          <w:rFonts w:hint="eastAsia" w:ascii="仿宋" w:hAnsi="仿宋" w:eastAsia="仿宋" w:cs="仿宋"/>
          <w:bCs/>
          <w:sz w:val="24"/>
          <w:szCs w:val="24"/>
          <w:lang w:val="en-US" w:eastAsia="zh-CN"/>
        </w:rPr>
      </w:pP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333333"/>
          <w:sz w:val="21"/>
          <w:szCs w:val="21"/>
        </w:rPr>
      </w:pPr>
      <w:r>
        <w:rPr>
          <w:rStyle w:val="7"/>
          <w:rFonts w:hint="eastAsia" w:ascii="仿宋" w:hAnsi="仿宋" w:eastAsia="仿宋" w:cs="仿宋"/>
          <w:color w:val="333333"/>
          <w:sz w:val="21"/>
          <w:szCs w:val="21"/>
          <w:shd w:val="clear" w:color="auto" w:fill="FFFFFF"/>
        </w:rPr>
        <w:t>一、投标人资格要求</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符合《中华人民共和国政府采购法》第二十二条规定的供货商资格要求；</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具有全国网络安全等级保护协调小组颁发的网络安全等级保护测评机构推荐证书；</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三年内未被主管部门停业整顿的测评机构。</w:t>
      </w:r>
    </w:p>
    <w:p>
      <w:pPr>
        <w:pStyle w:val="4"/>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需在丽水需要有落地的技术服务团队，</w:t>
      </w:r>
      <w:r>
        <w:rPr>
          <w:rFonts w:hint="eastAsia" w:ascii="仿宋" w:hAnsi="仿宋" w:eastAsia="仿宋" w:cs="仿宋"/>
          <w:color w:val="333333"/>
          <w:sz w:val="21"/>
          <w:szCs w:val="21"/>
          <w:shd w:val="clear" w:color="auto" w:fill="FFFFFF"/>
        </w:rPr>
        <w:t>7*24</w:t>
      </w:r>
      <w:r>
        <w:rPr>
          <w:rFonts w:hint="eastAsia" w:ascii="仿宋" w:hAnsi="仿宋" w:eastAsia="仿宋" w:cs="仿宋"/>
          <w:color w:val="333333"/>
          <w:sz w:val="21"/>
          <w:szCs w:val="21"/>
          <w:shd w:val="clear" w:color="auto" w:fill="FFFFFF"/>
        </w:rPr>
        <w:t>随时响应，响应时间在</w:t>
      </w:r>
      <w:r>
        <w:rPr>
          <w:rFonts w:hint="eastAsia" w:ascii="仿宋" w:hAnsi="仿宋" w:eastAsia="仿宋" w:cs="仿宋"/>
          <w:color w:val="333333"/>
          <w:sz w:val="21"/>
          <w:szCs w:val="21"/>
          <w:shd w:val="clear" w:color="auto" w:fill="FFFFFF"/>
        </w:rPr>
        <w:t>1</w:t>
      </w:r>
      <w:r>
        <w:rPr>
          <w:rFonts w:hint="eastAsia" w:ascii="仿宋" w:hAnsi="仿宋" w:eastAsia="仿宋" w:cs="仿宋"/>
          <w:color w:val="333333"/>
          <w:sz w:val="21"/>
          <w:szCs w:val="21"/>
          <w:shd w:val="clear" w:color="auto" w:fill="FFFFFF"/>
        </w:rPr>
        <w:t>小时之内，提供人员相对固定的专业服务团队。</w:t>
      </w:r>
      <w:r>
        <w:rPr>
          <w:rFonts w:hint="eastAsia" w:ascii="仿宋" w:hAnsi="仿宋" w:eastAsia="仿宋" w:cs="仿宋"/>
          <w:color w:val="333333"/>
          <w:sz w:val="21"/>
          <w:szCs w:val="21"/>
          <w:shd w:val="clear" w:color="auto" w:fill="FFFFFF"/>
        </w:rPr>
        <w:t> </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333333"/>
          <w:sz w:val="21"/>
          <w:szCs w:val="21"/>
        </w:rPr>
      </w:pPr>
      <w:r>
        <w:rPr>
          <w:rStyle w:val="7"/>
          <w:rFonts w:hint="eastAsia" w:ascii="仿宋" w:hAnsi="仿宋" w:eastAsia="仿宋" w:cs="仿宋"/>
          <w:color w:val="333333"/>
          <w:sz w:val="21"/>
          <w:szCs w:val="21"/>
          <w:shd w:val="clear" w:color="auto" w:fill="FFFFFF"/>
        </w:rPr>
        <w:t>二、服务内容</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本次定级备案、等级测评的对象为以下信息系统：</w:t>
      </w:r>
    </w:p>
    <w:tbl>
      <w:tblPr>
        <w:tblStyle w:val="5"/>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841"/>
        <w:gridCol w:w="3542"/>
        <w:gridCol w:w="1977"/>
        <w:gridCol w:w="2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506" w:hRule="atLeast"/>
        </w:trPr>
        <w:tc>
          <w:tcPr>
            <w:tcW w:w="841"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both"/>
              <w:textAlignment w:val="auto"/>
              <w:rPr>
                <w:rFonts w:hint="eastAsia" w:ascii="仿宋" w:hAnsi="仿宋" w:eastAsia="仿宋" w:cs="仿宋"/>
                <w:color w:val="333333"/>
              </w:rPr>
            </w:pPr>
            <w:r>
              <w:rPr>
                <w:rStyle w:val="7"/>
                <w:rFonts w:hint="eastAsia" w:ascii="仿宋" w:hAnsi="仿宋" w:eastAsia="仿宋" w:cs="仿宋"/>
                <w:color w:val="333333"/>
                <w:sz w:val="21"/>
                <w:szCs w:val="21"/>
              </w:rPr>
              <w:t>序号</w:t>
            </w:r>
          </w:p>
        </w:tc>
        <w:tc>
          <w:tcPr>
            <w:tcW w:w="3542"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Style w:val="7"/>
                <w:rFonts w:hint="eastAsia" w:ascii="仿宋" w:hAnsi="仿宋" w:eastAsia="仿宋" w:cs="仿宋"/>
                <w:color w:val="333333"/>
                <w:sz w:val="21"/>
                <w:szCs w:val="21"/>
              </w:rPr>
              <w:t>系统名称</w:t>
            </w:r>
          </w:p>
        </w:tc>
        <w:tc>
          <w:tcPr>
            <w:tcW w:w="1977"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Style w:val="7"/>
                <w:rFonts w:hint="eastAsia" w:ascii="仿宋" w:hAnsi="仿宋" w:eastAsia="仿宋" w:cs="仿宋"/>
                <w:color w:val="333333"/>
                <w:sz w:val="21"/>
                <w:szCs w:val="21"/>
              </w:rPr>
              <w:t>系统等级</w:t>
            </w:r>
          </w:p>
        </w:tc>
        <w:tc>
          <w:tcPr>
            <w:tcW w:w="2218"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Style w:val="7"/>
                <w:rFonts w:hint="eastAsia" w:ascii="仿宋" w:hAnsi="仿宋" w:eastAsia="仿宋" w:cs="仿宋"/>
                <w:color w:val="333333"/>
                <w:sz w:val="21"/>
                <w:szCs w:val="21"/>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1" w:hRule="atLeast"/>
        </w:trPr>
        <w:tc>
          <w:tcPr>
            <w:tcW w:w="841"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rPr>
              <w:t>1</w:t>
            </w:r>
          </w:p>
        </w:tc>
        <w:tc>
          <w:tcPr>
            <w:tcW w:w="3542"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shd w:val="clear" w:color="auto" w:fill="FFFFFF"/>
              </w:rPr>
              <w:t>网站群、数字校园平台、智慧校园系统、招生报名系统</w:t>
            </w:r>
          </w:p>
        </w:tc>
        <w:tc>
          <w:tcPr>
            <w:tcW w:w="1977"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shd w:val="clear" w:color="auto" w:fill="FFFFFF"/>
              </w:rPr>
              <w:t>定级备案</w:t>
            </w:r>
          </w:p>
        </w:tc>
        <w:tc>
          <w:tcPr>
            <w:tcW w:w="2218" w:type="dxa"/>
            <w:vMerge w:val="restart"/>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rPr>
              <w:t>8</w:t>
            </w:r>
            <w:r>
              <w:rPr>
                <w:rFonts w:hint="eastAsia" w:ascii="仿宋" w:hAnsi="仿宋" w:eastAsia="仿宋" w:cs="仿宋"/>
                <w:color w:val="333333"/>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0" w:hRule="atLeast"/>
        </w:trPr>
        <w:tc>
          <w:tcPr>
            <w:tcW w:w="841"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rPr>
              <w:t>2</w:t>
            </w:r>
          </w:p>
        </w:tc>
        <w:tc>
          <w:tcPr>
            <w:tcW w:w="3542"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shd w:val="clear" w:color="auto" w:fill="FFFFFF"/>
              </w:rPr>
              <w:t>网站群系统、数字校园平台</w:t>
            </w:r>
          </w:p>
        </w:tc>
        <w:tc>
          <w:tcPr>
            <w:tcW w:w="1977"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r>
              <w:rPr>
                <w:rFonts w:hint="eastAsia" w:ascii="仿宋" w:hAnsi="仿宋" w:eastAsia="仿宋" w:cs="仿宋"/>
                <w:color w:val="333333"/>
                <w:sz w:val="21"/>
                <w:szCs w:val="21"/>
              </w:rPr>
              <w:t>测评（二级）</w:t>
            </w:r>
          </w:p>
        </w:tc>
        <w:tc>
          <w:tcPr>
            <w:tcW w:w="2218" w:type="dxa"/>
            <w:vMerge w:val="continue"/>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jc w:val="center"/>
              <w:textAlignment w:val="auto"/>
              <w:rPr>
                <w:rFonts w:hint="eastAsia" w:ascii="仿宋" w:hAnsi="仿宋" w:eastAsia="仿宋" w:cs="仿宋"/>
                <w:color w:val="333333"/>
              </w:rPr>
            </w:pPr>
          </w:p>
        </w:tc>
      </w:tr>
    </w:tbl>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b w:val="0"/>
          <w:bCs/>
          <w:color w:val="333333"/>
          <w:sz w:val="21"/>
          <w:szCs w:val="21"/>
          <w:highlight w:val="none"/>
          <w:lang w:eastAsia="zh-CN"/>
        </w:rPr>
      </w:pPr>
      <w:r>
        <w:rPr>
          <w:rStyle w:val="7"/>
          <w:rFonts w:hint="eastAsia" w:ascii="仿宋" w:hAnsi="仿宋" w:eastAsia="仿宋" w:cs="仿宋"/>
          <w:b w:val="0"/>
          <w:bCs/>
          <w:color w:val="333333"/>
          <w:sz w:val="21"/>
          <w:szCs w:val="21"/>
          <w:highlight w:val="none"/>
          <w:shd w:val="clear" w:color="auto" w:fill="FFFFFF"/>
        </w:rPr>
        <w:t>备注：超过限价作废标处理</w:t>
      </w:r>
      <w:r>
        <w:rPr>
          <w:rStyle w:val="7"/>
          <w:rFonts w:hint="eastAsia" w:ascii="仿宋" w:hAnsi="仿宋" w:eastAsia="仿宋" w:cs="仿宋"/>
          <w:b w:val="0"/>
          <w:bCs/>
          <w:color w:val="333333"/>
          <w:sz w:val="21"/>
          <w:szCs w:val="21"/>
          <w:highlight w:val="none"/>
          <w:shd w:val="clear" w:color="auto" w:fill="FFFFFF"/>
          <w:lang w:eastAsia="zh-CN"/>
        </w:rPr>
        <w:t>。</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333333"/>
          <w:sz w:val="21"/>
          <w:szCs w:val="21"/>
        </w:rPr>
      </w:pPr>
      <w:r>
        <w:rPr>
          <w:rStyle w:val="7"/>
          <w:rFonts w:hint="eastAsia" w:ascii="仿宋" w:hAnsi="仿宋" w:eastAsia="仿宋" w:cs="仿宋"/>
          <w:color w:val="333333"/>
          <w:sz w:val="21"/>
          <w:szCs w:val="21"/>
          <w:shd w:val="clear" w:color="auto" w:fill="FFFFFF"/>
        </w:rPr>
        <w:t>三、依据标准</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实施方应依据国家等级保护相关标准开展工作，依据标准包括但不限于如下国家标准：</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《信息安全等级保护管理办法》（公通字〔</w:t>
      </w:r>
      <w:r>
        <w:rPr>
          <w:rFonts w:hint="eastAsia" w:ascii="仿宋" w:hAnsi="仿宋" w:eastAsia="仿宋" w:cs="仿宋"/>
          <w:color w:val="333333"/>
          <w:sz w:val="21"/>
          <w:szCs w:val="21"/>
          <w:shd w:val="clear" w:color="auto" w:fill="FFFFFF"/>
        </w:rPr>
        <w:t>2007</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43 </w:t>
      </w:r>
      <w:r>
        <w:rPr>
          <w:rFonts w:hint="eastAsia" w:ascii="仿宋" w:hAnsi="仿宋" w:eastAsia="仿宋" w:cs="仿宋"/>
          <w:color w:val="333333"/>
          <w:sz w:val="21"/>
          <w:szCs w:val="21"/>
          <w:shd w:val="clear" w:color="auto" w:fill="FFFFFF"/>
        </w:rPr>
        <w:t>号）；</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《计算机信息系统安全保护等级划分准则》（</w:t>
      </w:r>
      <w:r>
        <w:rPr>
          <w:rFonts w:hint="eastAsia" w:ascii="仿宋" w:hAnsi="仿宋" w:eastAsia="仿宋" w:cs="仿宋"/>
          <w:color w:val="333333"/>
          <w:sz w:val="21"/>
          <w:szCs w:val="21"/>
          <w:shd w:val="clear" w:color="auto" w:fill="FFFFFF"/>
        </w:rPr>
        <w:t>GB 17859-1999</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网络安全等级保护基本要求》（</w:t>
      </w:r>
      <w:r>
        <w:rPr>
          <w:rFonts w:hint="eastAsia" w:ascii="仿宋" w:hAnsi="仿宋" w:eastAsia="仿宋" w:cs="仿宋"/>
          <w:color w:val="333333"/>
          <w:sz w:val="21"/>
          <w:szCs w:val="21"/>
          <w:shd w:val="clear" w:color="auto" w:fill="FFFFFF"/>
        </w:rPr>
        <w:t>GB/T22239-2019</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网络安全等级保护安全设计技术要求》（</w:t>
      </w:r>
      <w:r>
        <w:rPr>
          <w:rFonts w:hint="eastAsia" w:ascii="仿宋" w:hAnsi="仿宋" w:eastAsia="仿宋" w:cs="仿宋"/>
          <w:color w:val="333333"/>
          <w:sz w:val="21"/>
          <w:szCs w:val="21"/>
          <w:shd w:val="clear" w:color="auto" w:fill="FFFFFF"/>
        </w:rPr>
        <w:t>GB/T25070-2019</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网络安全等级保护测评要求》（</w:t>
      </w:r>
      <w:r>
        <w:rPr>
          <w:rFonts w:hint="eastAsia" w:ascii="仿宋" w:hAnsi="仿宋" w:eastAsia="仿宋" w:cs="仿宋"/>
          <w:color w:val="333333"/>
          <w:sz w:val="21"/>
          <w:szCs w:val="21"/>
          <w:shd w:val="clear" w:color="auto" w:fill="FFFFFF"/>
        </w:rPr>
        <w:t>GB/T28448-2019</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网络安全等级保护测评过程指南》（</w:t>
      </w:r>
      <w:r>
        <w:rPr>
          <w:rFonts w:hint="eastAsia" w:ascii="仿宋" w:hAnsi="仿宋" w:eastAsia="仿宋" w:cs="仿宋"/>
          <w:color w:val="333333"/>
          <w:sz w:val="21"/>
          <w:szCs w:val="21"/>
          <w:shd w:val="clear" w:color="auto" w:fill="FFFFFF"/>
        </w:rPr>
        <w:t>GB/T28449-2018</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信息系统安全等级保护定级指南》（</w:t>
      </w:r>
      <w:r>
        <w:rPr>
          <w:rFonts w:hint="eastAsia" w:ascii="仿宋" w:hAnsi="仿宋" w:eastAsia="仿宋" w:cs="仿宋"/>
          <w:color w:val="333333"/>
          <w:sz w:val="21"/>
          <w:szCs w:val="21"/>
          <w:shd w:val="clear" w:color="auto" w:fill="FFFFFF"/>
        </w:rPr>
        <w:t>GB/T22240-2008</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333333"/>
          <w:sz w:val="21"/>
          <w:szCs w:val="21"/>
        </w:rPr>
      </w:pPr>
      <w:r>
        <w:rPr>
          <w:rFonts w:hint="eastAsia" w:ascii="仿宋" w:hAnsi="仿宋" w:eastAsia="仿宋" w:cs="仿宋"/>
          <w:color w:val="333333"/>
          <w:sz w:val="21"/>
          <w:szCs w:val="21"/>
          <w:shd w:val="clear" w:color="auto" w:fill="FFFFFF"/>
        </w:rPr>
        <w:t>《信息安全技术 网络安全等级保护测试评估技术指南》（</w:t>
      </w:r>
      <w:r>
        <w:rPr>
          <w:rFonts w:hint="eastAsia" w:ascii="仿宋" w:hAnsi="仿宋" w:eastAsia="仿宋" w:cs="仿宋"/>
          <w:color w:val="333333"/>
          <w:sz w:val="21"/>
          <w:szCs w:val="21"/>
          <w:shd w:val="clear" w:color="auto" w:fill="FFFFFF"/>
        </w:rPr>
        <w:t>GB/T36627-2018</w:t>
      </w:r>
      <w:r>
        <w:rPr>
          <w:rFonts w:hint="eastAsia" w:ascii="仿宋" w:hAnsi="仿宋" w:eastAsia="仿宋" w:cs="仿宋"/>
          <w:color w:val="333333"/>
          <w:sz w:val="21"/>
          <w:szCs w:val="21"/>
          <w:shd w:val="clear" w:color="auto" w:fill="FFFFFF"/>
        </w:rPr>
        <w:t>）</w:t>
      </w:r>
      <w:r>
        <w:rPr>
          <w:rFonts w:hint="eastAsia" w:ascii="仿宋" w:hAnsi="仿宋" w:eastAsia="仿宋" w:cs="仿宋"/>
          <w:color w:val="333333"/>
          <w:sz w:val="21"/>
          <w:szCs w:val="21"/>
          <w:shd w:val="clear" w:color="auto" w:fill="FFFFFF"/>
          <w:lang w:eastAsia="zh-CN"/>
        </w:rPr>
        <w:t>。</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333333"/>
          <w:sz w:val="21"/>
          <w:szCs w:val="21"/>
        </w:rPr>
      </w:pPr>
      <w:r>
        <w:rPr>
          <w:rStyle w:val="7"/>
          <w:rFonts w:hint="eastAsia" w:ascii="仿宋" w:hAnsi="仿宋" w:eastAsia="仿宋" w:cs="仿宋"/>
          <w:color w:val="333333"/>
          <w:sz w:val="21"/>
          <w:szCs w:val="21"/>
          <w:shd w:val="clear" w:color="auto" w:fill="FFFFFF"/>
        </w:rPr>
        <w:t>四、技术要求</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根据国家网络安全等级保护相关标准，实施方对丽水职业技术学院信息系统安全等级保护测评的内容包括但不限于以下内容：</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textAlignment w:val="auto"/>
        <w:rPr>
          <w:rFonts w:hint="eastAsia" w:ascii="仿宋" w:hAnsi="仿宋" w:eastAsia="仿宋" w:cs="仿宋"/>
          <w:color w:val="000000"/>
          <w:sz w:val="21"/>
          <w:szCs w:val="21"/>
          <w:shd w:val="clear" w:color="auto" w:fill="FFFFFF"/>
        </w:rPr>
      </w:pPr>
      <w:r>
        <w:rPr>
          <w:rFonts w:hint="eastAsia" w:ascii="仿宋" w:hAnsi="仿宋" w:eastAsia="仿宋" w:cs="仿宋"/>
          <w:color w:val="000000"/>
          <w:sz w:val="21"/>
          <w:szCs w:val="21"/>
          <w:shd w:val="clear" w:color="auto" w:fill="FFFFFF"/>
        </w:rPr>
        <w:t>安全技术测评：包括安全物理环境、安全通信网络、安全区域边界、安全计算环境、安全管理中心等五个方面的安全测评；</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300" w:lineRule="auto"/>
        <w:ind w:left="0" w:firstLine="420"/>
        <w:textAlignment w:val="auto"/>
        <w:rPr>
          <w:rFonts w:hint="eastAsia" w:ascii="仿宋" w:hAnsi="仿宋" w:eastAsia="仿宋" w:cs="仿宋"/>
        </w:rPr>
      </w:pPr>
      <w:r>
        <w:rPr>
          <w:rFonts w:hint="eastAsia" w:ascii="仿宋" w:hAnsi="仿宋" w:eastAsia="仿宋" w:cs="仿宋"/>
          <w:color w:val="000000"/>
          <w:sz w:val="21"/>
          <w:szCs w:val="21"/>
          <w:shd w:val="clear" w:color="auto" w:fill="FFFFFF"/>
        </w:rPr>
        <w:t>安全管理测评：、安全管理制度、安全管理机构、安全管理人员、安全建设管理、安全运维管理等五个方面的安全测评；</w:t>
      </w:r>
    </w:p>
    <w:p>
      <w:pPr>
        <w:pStyle w:val="4"/>
        <w:keepNext w:val="0"/>
        <w:keepLines w:val="0"/>
        <w:pageBreakBefore w:val="0"/>
        <w:widowControl/>
        <w:numPr>
          <w:ilvl w:val="0"/>
          <w:numId w:val="3"/>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rPr>
      </w:pPr>
      <w:r>
        <w:rPr>
          <w:rStyle w:val="7"/>
          <w:rFonts w:hint="eastAsia" w:ascii="仿宋" w:hAnsi="仿宋" w:eastAsia="仿宋" w:cs="仿宋"/>
          <w:color w:val="333333"/>
          <w:sz w:val="21"/>
          <w:szCs w:val="21"/>
          <w:shd w:val="clear" w:color="auto" w:fill="FFFFFF"/>
        </w:rPr>
        <w:t>定级及测评要求</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sz w:val="21"/>
          <w:szCs w:val="21"/>
        </w:rPr>
        <w:t>中标方须</w:t>
      </w:r>
      <w:r>
        <w:rPr>
          <w:rFonts w:hint="eastAsia" w:ascii="仿宋" w:hAnsi="仿宋" w:eastAsia="仿宋" w:cs="仿宋"/>
          <w:sz w:val="21"/>
          <w:szCs w:val="21"/>
          <w:lang w:eastAsia="zh-CN"/>
        </w:rPr>
        <w:t>依据国家网络安全信息系统定级相关标准，</w:t>
      </w:r>
      <w:r>
        <w:rPr>
          <w:rFonts w:hint="eastAsia" w:ascii="仿宋" w:hAnsi="仿宋" w:eastAsia="仿宋" w:cs="仿宋"/>
          <w:sz w:val="21"/>
          <w:szCs w:val="21"/>
        </w:rPr>
        <w:t>协助采购方</w:t>
      </w:r>
      <w:r>
        <w:rPr>
          <w:rFonts w:hint="eastAsia" w:ascii="仿宋" w:hAnsi="仿宋" w:eastAsia="仿宋" w:cs="仿宋"/>
          <w:sz w:val="21"/>
          <w:szCs w:val="21"/>
          <w:lang w:eastAsia="zh-CN"/>
        </w:rPr>
        <w:t>完成上述系统的申报材料准备及</w:t>
      </w:r>
      <w:r>
        <w:rPr>
          <w:rFonts w:hint="eastAsia" w:ascii="仿宋" w:hAnsi="仿宋" w:eastAsia="仿宋" w:cs="仿宋"/>
          <w:sz w:val="21"/>
          <w:szCs w:val="21"/>
        </w:rPr>
        <w:t>定级备案</w:t>
      </w:r>
      <w:r>
        <w:rPr>
          <w:rFonts w:hint="eastAsia" w:ascii="仿宋" w:hAnsi="仿宋" w:eastAsia="仿宋" w:cs="仿宋"/>
          <w:sz w:val="21"/>
          <w:szCs w:val="21"/>
          <w:lang w:eastAsia="zh-CN"/>
        </w:rPr>
        <w:t>工作。</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实施方应在对本单位系统详细了解的基础上，编制针对性的等级保护测评整体实施方案，包括项目概述、等级测评范围和内容、项目实施流程、测试过程中需使用测试设备清单、时间安排、阶段性文档提交和验收标准等。</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实施方应详细描述测评人员的组成、资质及各自职责的划分。实施方应配置有经验的测评人员进行本次等级测评工作。</w:t>
      </w:r>
    </w:p>
    <w:p>
      <w:pPr>
        <w:pStyle w:val="4"/>
        <w:keepNext w:val="0"/>
        <w:keepLines w:val="0"/>
        <w:pageBreakBefore w:val="0"/>
        <w:widowControl/>
        <w:numPr>
          <w:ilvl w:val="0"/>
          <w:numId w:val="4"/>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本次等级测评实施过程中所使用到的各种工具软件由实施方推荐，经采购方确认后由实施方提供并在测评中使用。在投标文件中应详细描述所使用的安全测评工具（软硬件型号、功能和性能描述）、使用的方式和时间、对环境和平台的要求以及使用可能对系统造成的风险等。</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对于在测评过程中采用的测评方法、测评所使用的工具、测评所覆盖的各方面，需要符合信息安全等级保护主管部门要求，包括但不仅仅包括网络隐患检测工具、数据库漏洞检测工具、应用安全检测工具、网站安全检测工具等。</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安全测评工具软件运行可能需要的硬件平台（如笔记本电脑、</w:t>
      </w:r>
      <w:r>
        <w:rPr>
          <w:rFonts w:hint="eastAsia" w:ascii="仿宋" w:hAnsi="仿宋" w:eastAsia="仿宋" w:cs="仿宋"/>
          <w:color w:val="333333"/>
          <w:sz w:val="21"/>
          <w:szCs w:val="21"/>
          <w:shd w:val="clear" w:color="auto" w:fill="FFFFFF"/>
        </w:rPr>
        <w:t>PC</w:t>
      </w:r>
      <w:r>
        <w:rPr>
          <w:rFonts w:hint="eastAsia" w:ascii="仿宋" w:hAnsi="仿宋" w:eastAsia="仿宋" w:cs="仿宋"/>
          <w:color w:val="333333"/>
          <w:sz w:val="21"/>
          <w:szCs w:val="21"/>
          <w:shd w:val="clear" w:color="auto" w:fill="FFFFFF"/>
        </w:rPr>
        <w:t>、工作站等）和操作系统软件等由实施方推荐，经采购方确认后由实施方提供并在测评中使用。</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安全测评需要的运行环境（如场地、网络环境等）由采购方提供，实施方应详细描述需要的运行环境的具体要求。</w:t>
      </w:r>
    </w:p>
    <w:p>
      <w:pPr>
        <w:pStyle w:val="4"/>
        <w:keepNext w:val="0"/>
        <w:keepLines w:val="0"/>
        <w:pageBreakBefore w:val="0"/>
        <w:widowControl/>
        <w:numPr>
          <w:ilvl w:val="0"/>
          <w:numId w:val="4"/>
        </w:numPr>
        <w:tabs>
          <w:tab w:val="left" w:pos="312"/>
        </w:tabs>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项目完成后必须提交完整的技术文档、测评报告、整改建议等</w:t>
      </w:r>
      <w:r>
        <w:rPr>
          <w:rStyle w:val="7"/>
          <w:rFonts w:hint="eastAsia" w:ascii="仿宋" w:hAnsi="仿宋" w:eastAsia="仿宋" w:cs="仿宋"/>
          <w:color w:val="333333"/>
          <w:sz w:val="21"/>
          <w:szCs w:val="21"/>
          <w:shd w:val="clear" w:color="auto" w:fill="FFFFFF"/>
        </w:rPr>
        <w:t>。</w:t>
      </w:r>
    </w:p>
    <w:p>
      <w:pPr>
        <w:pStyle w:val="4"/>
        <w:keepNext w:val="0"/>
        <w:keepLines w:val="0"/>
        <w:pageBreakBefore w:val="0"/>
        <w:widowControl/>
        <w:numPr>
          <w:ilvl w:val="0"/>
          <w:numId w:val="3"/>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Style w:val="7"/>
          <w:rFonts w:hint="eastAsia" w:ascii="仿宋" w:hAnsi="仿宋" w:eastAsia="仿宋" w:cs="仿宋"/>
          <w:color w:val="333333"/>
          <w:sz w:val="21"/>
          <w:szCs w:val="21"/>
          <w:shd w:val="clear" w:color="auto" w:fill="FFFFFF"/>
        </w:rPr>
      </w:pPr>
      <w:r>
        <w:rPr>
          <w:rStyle w:val="7"/>
          <w:rFonts w:hint="eastAsia" w:ascii="仿宋" w:hAnsi="仿宋" w:eastAsia="仿宋" w:cs="仿宋"/>
          <w:color w:val="333333"/>
          <w:sz w:val="21"/>
          <w:szCs w:val="21"/>
          <w:shd w:val="clear" w:color="auto" w:fill="FFFFFF"/>
        </w:rPr>
        <w:t>项目实施要求</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实施方应保证投标项目在采购方条件成熟时应立即开展实施；</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实施方在项目实施过程中应服从采购方的统一领导和协调，采购方有权裁决实施方的责任范围，实施方必须执行，在采购方限定的时间内解决问题。如果实施方不能按时完成测评内容，采购方有权中止项目、索赔或拒付款项；</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实施方需根据自己的工程实施经验结合采购方的实际需求进一步细化和完善工作任务书，作为工程实施的指导性文件；</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实施方应根据采购方工作需求、进度要求、实际情况制定详细的项目实施管理规范和项目实施计划，对工程目标、工作任务、阶段性工作、项目组织机构、职责分工、项目进度、质量控制等内容进行详细的说明，以确保工程实施按时保质的完成；</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t>为确保项目的顺利实施，实施方应具备以下资质：</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投标人具有丽水市</w:t>
      </w:r>
      <w:r>
        <w:rPr>
          <w:rFonts w:hint="eastAsia" w:ascii="仿宋" w:hAnsi="仿宋" w:eastAsia="仿宋" w:cs="仿宋"/>
          <w:color w:val="333333"/>
          <w:sz w:val="21"/>
          <w:szCs w:val="21"/>
          <w:shd w:val="clear" w:color="auto" w:fill="FFFFFF"/>
        </w:rPr>
        <w:t>2020</w:t>
      </w:r>
      <w:r>
        <w:rPr>
          <w:rFonts w:hint="eastAsia" w:ascii="仿宋" w:hAnsi="仿宋" w:eastAsia="仿宋" w:cs="仿宋"/>
          <w:color w:val="333333"/>
          <w:sz w:val="21"/>
          <w:szCs w:val="21"/>
          <w:shd w:val="clear" w:color="auto" w:fill="FFFFFF"/>
        </w:rPr>
        <w:t>年度信息通报中心技术支持合作单位资质，中标方需提供相关证明，否则做废标处理。</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投标人具有企业信用评价报告</w:t>
      </w:r>
      <w:r>
        <w:rPr>
          <w:rFonts w:hint="eastAsia" w:ascii="仿宋" w:hAnsi="仿宋" w:eastAsia="仿宋" w:cs="仿宋"/>
          <w:color w:val="333333"/>
          <w:sz w:val="21"/>
          <w:szCs w:val="21"/>
          <w:shd w:val="clear" w:color="auto" w:fill="FFFFFF"/>
        </w:rPr>
        <w:t>AAA</w:t>
      </w:r>
      <w:r>
        <w:rPr>
          <w:rFonts w:hint="eastAsia" w:ascii="仿宋" w:hAnsi="仿宋" w:eastAsia="仿宋" w:cs="仿宋"/>
          <w:color w:val="333333"/>
          <w:sz w:val="21"/>
          <w:szCs w:val="21"/>
          <w:shd w:val="clear" w:color="auto" w:fill="FFFFFF"/>
        </w:rPr>
        <w:t>级以上证书，中标方需提供相关证明，否则做废标处理。</w:t>
      </w:r>
    </w:p>
    <w:p>
      <w:pPr>
        <w:pStyle w:val="4"/>
        <w:keepNext w:val="0"/>
        <w:keepLines w:val="0"/>
        <w:pageBreakBefore w:val="0"/>
        <w:widowControl/>
        <w:numPr>
          <w:ilvl w:val="0"/>
          <w:numId w:val="5"/>
        </w:numPr>
        <w:kinsoku/>
        <w:wordWrap/>
        <w:overflowPunct/>
        <w:topLinePunct w:val="0"/>
        <w:autoSpaceDE/>
        <w:autoSpaceDN/>
        <w:bidi w:val="0"/>
        <w:adjustRightInd w:val="0"/>
        <w:snapToGrid w:val="0"/>
        <w:spacing w:beforeAutospacing="0" w:afterAutospacing="0" w:line="300" w:lineRule="auto"/>
        <w:ind w:left="425" w:leftChars="0" w:hanging="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项目验收完成后，要求提供为期一年的安全咨询服务，以保证项目正常运行。</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rPr>
      </w:pPr>
      <w:r>
        <w:rPr>
          <w:rStyle w:val="7"/>
          <w:rFonts w:hint="eastAsia" w:ascii="仿宋" w:hAnsi="仿宋" w:eastAsia="仿宋" w:cs="仿宋"/>
          <w:color w:val="333333"/>
          <w:sz w:val="21"/>
          <w:szCs w:val="21"/>
          <w:shd w:val="clear" w:color="auto" w:fill="FFFFFF"/>
        </w:rPr>
        <w:t>五、测评报告要求</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实施方应对采购人的各个信息系统进行等级保护测评，形成相应的报告。</w:t>
      </w:r>
    </w:p>
    <w:p>
      <w:pPr>
        <w:pStyle w:val="4"/>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sz w:val="21"/>
          <w:szCs w:val="21"/>
        </w:rPr>
      </w:pPr>
      <w:r>
        <w:rPr>
          <w:rFonts w:hint="eastAsia" w:ascii="仿宋" w:hAnsi="仿宋" w:eastAsia="仿宋" w:cs="仿宋"/>
          <w:color w:val="333333"/>
          <w:sz w:val="21"/>
          <w:szCs w:val="21"/>
          <w:shd w:val="clear" w:color="auto" w:fill="FFFFFF"/>
        </w:rPr>
        <w:t>实施方在测评完成后，出具符合信息安全等级保护主管部门要求的信息系统安全等级保护测评报告；</w:t>
      </w:r>
    </w:p>
    <w:p>
      <w:pPr>
        <w:pStyle w:val="4"/>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对不符合信息安全等级保护有关管理规范和技术标准的，实施方出具可行的信息系统整改建议，并指导用户方完成整改；</w:t>
      </w:r>
    </w:p>
    <w:p>
      <w:pPr>
        <w:pStyle w:val="4"/>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sz w:val="21"/>
          <w:szCs w:val="21"/>
        </w:rPr>
      </w:pPr>
      <w:r>
        <w:rPr>
          <w:rFonts w:hint="eastAsia" w:ascii="仿宋" w:hAnsi="仿宋" w:eastAsia="仿宋" w:cs="仿宋"/>
          <w:color w:val="333333"/>
          <w:sz w:val="21"/>
          <w:szCs w:val="21"/>
          <w:shd w:val="clear" w:color="auto" w:fill="FFFFFF"/>
        </w:rPr>
        <w:t>实施方协助用户方办理信息系统安全等级保护备案手续等相关工作。</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000000"/>
        </w:rPr>
      </w:pPr>
      <w:r>
        <w:rPr>
          <w:rStyle w:val="7"/>
          <w:rFonts w:hint="eastAsia" w:ascii="仿宋" w:hAnsi="仿宋" w:eastAsia="仿宋" w:cs="仿宋"/>
          <w:color w:val="333333"/>
          <w:sz w:val="21"/>
          <w:szCs w:val="21"/>
          <w:shd w:val="clear" w:color="auto" w:fill="FFFFFF"/>
        </w:rPr>
        <w:t>六、报名时须提交以下文件资料：</w:t>
      </w:r>
      <w:r>
        <w:rPr>
          <w:rFonts w:hint="eastAsia" w:ascii="仿宋" w:hAnsi="仿宋" w:eastAsia="仿宋" w:cs="仿宋"/>
          <w:color w:val="333333"/>
          <w:sz w:val="21"/>
          <w:szCs w:val="21"/>
          <w:shd w:val="clear" w:color="auto" w:fill="FFFFFF"/>
        </w:rPr>
        <w:t>                                                                                 </w:t>
      </w:r>
    </w:p>
    <w:p>
      <w:pPr>
        <w:pStyle w:val="4"/>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公司营业执照及相关能进行等保评测的资质证明；</w:t>
      </w:r>
    </w:p>
    <w:p>
      <w:pPr>
        <w:pStyle w:val="4"/>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报价单（报价包含施工费、人工费、税金等在内的所有费用）；</w:t>
      </w:r>
    </w:p>
    <w:p>
      <w:pPr>
        <w:pStyle w:val="4"/>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授权书；</w:t>
      </w:r>
    </w:p>
    <w:p>
      <w:pPr>
        <w:pStyle w:val="4"/>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售后服务承诺书；</w:t>
      </w:r>
    </w:p>
    <w:p>
      <w:pPr>
        <w:pStyle w:val="4"/>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其他说明</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注：标书要求一式</w:t>
      </w:r>
      <w:r>
        <w:rPr>
          <w:rFonts w:hint="eastAsia" w:ascii="仿宋" w:hAnsi="仿宋" w:eastAsia="仿宋" w:cs="仿宋"/>
          <w:color w:val="333333"/>
          <w:sz w:val="21"/>
          <w:szCs w:val="21"/>
          <w:shd w:val="clear" w:color="auto" w:fill="FFFFFF"/>
          <w:lang w:eastAsia="zh-CN"/>
        </w:rPr>
        <w:t>二</w:t>
      </w:r>
      <w:r>
        <w:rPr>
          <w:rFonts w:hint="eastAsia" w:ascii="仿宋" w:hAnsi="仿宋" w:eastAsia="仿宋" w:cs="仿宋"/>
          <w:color w:val="333333"/>
          <w:sz w:val="21"/>
          <w:szCs w:val="21"/>
          <w:shd w:val="clear" w:color="auto" w:fill="FFFFFF"/>
        </w:rPr>
        <w:t>份，其中正本一份，副本</w:t>
      </w:r>
      <w:r>
        <w:rPr>
          <w:rFonts w:hint="eastAsia" w:ascii="仿宋" w:hAnsi="仿宋" w:eastAsia="仿宋" w:cs="仿宋"/>
          <w:color w:val="333333"/>
          <w:sz w:val="21"/>
          <w:szCs w:val="21"/>
          <w:shd w:val="clear" w:color="auto" w:fill="FFFFFF"/>
          <w:lang w:eastAsia="zh-CN"/>
        </w:rPr>
        <w:t>一</w:t>
      </w:r>
      <w:r>
        <w:rPr>
          <w:rFonts w:hint="eastAsia" w:ascii="仿宋" w:hAnsi="仿宋" w:eastAsia="仿宋" w:cs="仿宋"/>
          <w:color w:val="333333"/>
          <w:sz w:val="21"/>
          <w:szCs w:val="21"/>
          <w:shd w:val="clear" w:color="auto" w:fill="FFFFFF"/>
        </w:rPr>
        <w:t>份。以上所有资料均须加盖红章。</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000000"/>
        </w:rPr>
      </w:pPr>
      <w:r>
        <w:rPr>
          <w:rStyle w:val="7"/>
          <w:rFonts w:hint="eastAsia" w:ascii="仿宋" w:hAnsi="仿宋" w:eastAsia="仿宋" w:cs="仿宋"/>
          <w:color w:val="333333"/>
          <w:sz w:val="21"/>
          <w:szCs w:val="21"/>
          <w:shd w:val="clear" w:color="auto" w:fill="FFFFFF"/>
        </w:rPr>
        <w:t>七、付款方式：</w:t>
      </w:r>
      <w:r>
        <w:rPr>
          <w:rFonts w:hint="eastAsia" w:ascii="仿宋" w:hAnsi="仿宋" w:eastAsia="仿宋" w:cs="仿宋"/>
          <w:color w:val="333333"/>
          <w:sz w:val="21"/>
          <w:szCs w:val="21"/>
          <w:shd w:val="clear" w:color="auto" w:fill="FFFFFF"/>
        </w:rPr>
        <w:t> </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000000"/>
        </w:rPr>
      </w:pPr>
      <w:r>
        <w:rPr>
          <w:rFonts w:hint="eastAsia" w:ascii="仿宋" w:hAnsi="仿宋" w:eastAsia="仿宋" w:cs="仿宋"/>
          <w:color w:val="000000"/>
          <w:sz w:val="21"/>
          <w:szCs w:val="21"/>
          <w:shd w:val="clear" w:color="auto" w:fill="FFFFFF"/>
        </w:rPr>
        <w:t>乙方交付测评报告并开具正式发票后</w:t>
      </w:r>
      <w:r>
        <w:rPr>
          <w:rFonts w:hint="eastAsia" w:ascii="仿宋" w:hAnsi="仿宋" w:eastAsia="仿宋" w:cs="仿宋"/>
          <w:color w:val="000000"/>
          <w:sz w:val="21"/>
          <w:szCs w:val="21"/>
          <w:u w:val="none"/>
          <w:shd w:val="clear" w:color="auto" w:fill="FFFFFF"/>
        </w:rPr>
        <w:t>20</w:t>
      </w:r>
      <w:r>
        <w:rPr>
          <w:rFonts w:hint="eastAsia" w:ascii="仿宋" w:hAnsi="仿宋" w:eastAsia="仿宋" w:cs="仿宋"/>
          <w:color w:val="000000"/>
          <w:sz w:val="21"/>
          <w:szCs w:val="21"/>
          <w:shd w:val="clear" w:color="auto" w:fill="FFFFFF"/>
        </w:rPr>
        <w:t>个工作日内，甲方一次性付清合同款。</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000000"/>
        </w:rPr>
      </w:pPr>
      <w:r>
        <w:rPr>
          <w:rStyle w:val="7"/>
          <w:rFonts w:hint="eastAsia" w:ascii="仿宋" w:hAnsi="仿宋" w:eastAsia="仿宋" w:cs="仿宋"/>
          <w:color w:val="333333"/>
          <w:sz w:val="21"/>
          <w:szCs w:val="21"/>
          <w:shd w:val="clear" w:color="auto" w:fill="FFFFFF"/>
        </w:rPr>
        <w:t>八、现场评测完成时间：</w:t>
      </w:r>
    </w:p>
    <w:p>
      <w:pPr>
        <w:pStyle w:val="4"/>
        <w:keepNext w:val="0"/>
        <w:keepLines w:val="0"/>
        <w:pageBreakBefore w:val="0"/>
        <w:widowControl/>
        <w:kinsoku/>
        <w:wordWrap/>
        <w:overflowPunct/>
        <w:topLinePunct w:val="0"/>
        <w:autoSpaceDE/>
        <w:autoSpaceDN/>
        <w:bidi w:val="0"/>
        <w:adjustRightInd w:val="0"/>
        <w:snapToGrid w:val="0"/>
        <w:spacing w:beforeAutospacing="0" w:afterAutospacing="0" w:line="300" w:lineRule="auto"/>
        <w:ind w:left="0" w:firstLine="420" w:firstLineChars="20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合同签订后90个工作日完成。</w:t>
      </w:r>
    </w:p>
    <w:p>
      <w:pPr>
        <w:pStyle w:val="4"/>
        <w:keepNext w:val="0"/>
        <w:keepLines w:val="0"/>
        <w:pageBreakBefore w:val="0"/>
        <w:widowControl/>
        <w:numPr>
          <w:ilvl w:val="0"/>
          <w:numId w:val="8"/>
        </w:numPr>
        <w:kinsoku/>
        <w:wordWrap/>
        <w:overflowPunct/>
        <w:topLinePunct w:val="0"/>
        <w:autoSpaceDE/>
        <w:autoSpaceDN/>
        <w:bidi w:val="0"/>
        <w:adjustRightInd w:val="0"/>
        <w:snapToGrid w:val="0"/>
        <w:spacing w:beforeAutospacing="0" w:afterAutospacing="0" w:line="300" w:lineRule="auto"/>
        <w:ind w:left="0"/>
        <w:textAlignment w:val="auto"/>
        <w:rPr>
          <w:rFonts w:hint="eastAsia" w:ascii="仿宋" w:hAnsi="仿宋" w:eastAsia="仿宋" w:cs="仿宋"/>
          <w:color w:val="000000"/>
        </w:rPr>
      </w:pPr>
      <w:r>
        <w:rPr>
          <w:rStyle w:val="7"/>
          <w:rFonts w:hint="eastAsia" w:ascii="仿宋" w:hAnsi="仿宋" w:eastAsia="仿宋" w:cs="仿宋"/>
          <w:color w:val="333333"/>
          <w:sz w:val="21"/>
          <w:szCs w:val="21"/>
          <w:shd w:val="clear" w:color="auto" w:fill="FFFFFF"/>
        </w:rPr>
        <w:t>有下列情况之一者，其投标无效：</w:t>
      </w:r>
    </w:p>
    <w:p>
      <w:pPr>
        <w:pStyle w:val="4"/>
        <w:keepNext w:val="0"/>
        <w:keepLines w:val="0"/>
        <w:pageBreakBefore w:val="0"/>
        <w:widowControl/>
        <w:numPr>
          <w:ilvl w:val="0"/>
          <w:numId w:val="9"/>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提交的证明材料发现有涂写（涂写处未盖有效章子）、弄虚作假（含成交后查实的）；</w:t>
      </w:r>
    </w:p>
    <w:p>
      <w:pPr>
        <w:pStyle w:val="4"/>
        <w:keepNext w:val="0"/>
        <w:keepLines w:val="0"/>
        <w:pageBreakBefore w:val="0"/>
        <w:widowControl/>
        <w:numPr>
          <w:ilvl w:val="0"/>
          <w:numId w:val="9"/>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利用不正当手段妨碍排挤其他人投标，串通作弊，扰乱市场，破坏公平竞争；</w:t>
      </w:r>
    </w:p>
    <w:p>
      <w:pPr>
        <w:pStyle w:val="4"/>
        <w:keepNext w:val="0"/>
        <w:keepLines w:val="0"/>
        <w:pageBreakBefore w:val="0"/>
        <w:widowControl/>
        <w:numPr>
          <w:ilvl w:val="0"/>
          <w:numId w:val="9"/>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以他人名义或挂户参与投标；</w:t>
      </w:r>
    </w:p>
    <w:p>
      <w:pPr>
        <w:pStyle w:val="4"/>
        <w:keepNext w:val="0"/>
        <w:keepLines w:val="0"/>
        <w:pageBreakBefore w:val="0"/>
        <w:widowControl/>
        <w:numPr>
          <w:ilvl w:val="0"/>
          <w:numId w:val="9"/>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未按要求书写、封装、提交资料的；</w:t>
      </w:r>
    </w:p>
    <w:p>
      <w:pPr>
        <w:pStyle w:val="4"/>
        <w:keepNext w:val="0"/>
        <w:keepLines w:val="0"/>
        <w:pageBreakBefore w:val="0"/>
        <w:widowControl/>
        <w:numPr>
          <w:ilvl w:val="0"/>
          <w:numId w:val="9"/>
        </w:numPr>
        <w:kinsoku/>
        <w:wordWrap/>
        <w:overflowPunct/>
        <w:topLinePunct w:val="0"/>
        <w:autoSpaceDE/>
        <w:autoSpaceDN/>
        <w:bidi w:val="0"/>
        <w:adjustRightInd w:val="0"/>
        <w:snapToGrid w:val="0"/>
        <w:spacing w:beforeAutospacing="0" w:afterAutospacing="0" w:line="300" w:lineRule="auto"/>
        <w:ind w:left="425" w:leftChars="0" w:hanging="425" w:firstLineChars="0"/>
        <w:textAlignment w:val="auto"/>
        <w:rPr>
          <w:rFonts w:hint="eastAsia" w:ascii="仿宋" w:hAnsi="仿宋" w:eastAsia="仿宋" w:cs="仿宋"/>
          <w:color w:val="000000"/>
        </w:rPr>
      </w:pPr>
      <w:r>
        <w:rPr>
          <w:rFonts w:hint="eastAsia" w:ascii="仿宋" w:hAnsi="仿宋" w:eastAsia="仿宋" w:cs="仿宋"/>
          <w:color w:val="333333"/>
          <w:sz w:val="21"/>
          <w:szCs w:val="21"/>
          <w:shd w:val="clear" w:color="auto" w:fill="FFFFFF"/>
        </w:rPr>
        <w:t>其它不符合有关法律、法规及有关制度的情况等。</w:t>
      </w:r>
    </w:p>
    <w:p>
      <w:pPr>
        <w:rPr>
          <w:rFonts w:hint="eastAsia" w:ascii="仿宋" w:hAnsi="仿宋" w:eastAsia="仿宋" w:cs="仿宋"/>
          <w:color w:val="333333"/>
          <w:sz w:val="21"/>
          <w:szCs w:val="21"/>
          <w:shd w:val="clear" w:color="auto" w:fill="FFFFFF"/>
        </w:rPr>
      </w:pPr>
      <w:r>
        <w:rPr>
          <w:rFonts w:hint="eastAsia" w:ascii="仿宋" w:hAnsi="仿宋" w:eastAsia="仿宋" w:cs="仿宋"/>
          <w:color w:val="333333"/>
          <w:sz w:val="21"/>
          <w:szCs w:val="21"/>
          <w:shd w:val="clear" w:color="auto" w:fill="FFFFFF"/>
        </w:rPr>
        <w:br w:type="page"/>
      </w:r>
    </w:p>
    <w:p>
      <w:pPr>
        <w:pStyle w:val="4"/>
        <w:keepNext w:val="0"/>
        <w:keepLines w:val="0"/>
        <w:pageBreakBefore w:val="0"/>
        <w:widowControl/>
        <w:numPr>
          <w:ilvl w:val="0"/>
          <w:numId w:val="8"/>
        </w:numPr>
        <w:kinsoku/>
        <w:wordWrap/>
        <w:overflowPunct/>
        <w:topLinePunct w:val="0"/>
        <w:autoSpaceDE/>
        <w:autoSpaceDN/>
        <w:bidi w:val="0"/>
        <w:adjustRightInd w:val="0"/>
        <w:snapToGrid w:val="0"/>
        <w:spacing w:beforeAutospacing="0" w:afterAutospacing="0" w:line="300" w:lineRule="auto"/>
        <w:ind w:left="0"/>
        <w:textAlignment w:val="auto"/>
        <w:rPr>
          <w:rStyle w:val="7"/>
          <w:rFonts w:hint="eastAsia" w:ascii="仿宋" w:hAnsi="仿宋" w:eastAsia="仿宋" w:cs="仿宋"/>
          <w:color w:val="333333"/>
          <w:sz w:val="28"/>
          <w:szCs w:val="28"/>
          <w:shd w:val="clear" w:color="auto" w:fill="FFFFFF"/>
          <w:lang w:eastAsia="zh-CN"/>
        </w:rPr>
      </w:pPr>
      <w:r>
        <w:rPr>
          <w:rStyle w:val="7"/>
          <w:rFonts w:hint="eastAsia" w:ascii="仿宋" w:hAnsi="仿宋" w:eastAsia="仿宋" w:cs="仿宋"/>
          <w:color w:val="333333"/>
          <w:sz w:val="28"/>
          <w:szCs w:val="28"/>
          <w:shd w:val="clear" w:color="auto" w:fill="FFFFFF"/>
          <w:lang w:eastAsia="zh-CN"/>
        </w:rPr>
        <w:t>报价单</w:t>
      </w:r>
      <w:r>
        <w:rPr>
          <w:rStyle w:val="7"/>
          <w:rFonts w:hint="eastAsia" w:ascii="仿宋" w:hAnsi="仿宋" w:eastAsia="仿宋" w:cs="仿宋"/>
          <w:b w:val="0"/>
          <w:bCs/>
          <w:color w:val="333333"/>
          <w:sz w:val="28"/>
          <w:szCs w:val="28"/>
          <w:shd w:val="clear" w:color="auto" w:fill="FFFFFF"/>
          <w:lang w:eastAsia="zh-CN"/>
        </w:rPr>
        <w:t>（以下内容由报价单位填写）</w:t>
      </w:r>
    </w:p>
    <w:tbl>
      <w:tblPr>
        <w:tblStyle w:val="5"/>
        <w:tblW w:w="97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9"/>
        <w:gridCol w:w="1095"/>
        <w:gridCol w:w="1966"/>
        <w:gridCol w:w="1077"/>
        <w:gridCol w:w="1034"/>
        <w:gridCol w:w="1087"/>
        <w:gridCol w:w="26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924"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机构代码编号</w:t>
            </w:r>
          </w:p>
        </w:tc>
        <w:tc>
          <w:tcPr>
            <w:tcW w:w="1966" w:type="dxa"/>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c>
          <w:tcPr>
            <w:tcW w:w="2111"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参标单位名称</w:t>
            </w:r>
          </w:p>
        </w:tc>
        <w:tc>
          <w:tcPr>
            <w:tcW w:w="3739"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924"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营业</w:t>
            </w:r>
            <w:r>
              <w:rPr>
                <w:rFonts w:hint="eastAsia" w:ascii="仿宋" w:hAnsi="仿宋" w:eastAsia="仿宋" w:cs="仿宋"/>
                <w:bCs/>
                <w:sz w:val="24"/>
                <w:szCs w:val="24"/>
                <w:lang w:eastAsia="zh-CN"/>
              </w:rPr>
              <w:t>执照</w:t>
            </w:r>
            <w:r>
              <w:rPr>
                <w:rFonts w:hint="eastAsia" w:ascii="仿宋" w:hAnsi="仿宋" w:eastAsia="仿宋" w:cs="仿宋"/>
                <w:bCs/>
                <w:sz w:val="24"/>
                <w:szCs w:val="24"/>
              </w:rPr>
              <w:t>编号</w:t>
            </w:r>
          </w:p>
        </w:tc>
        <w:tc>
          <w:tcPr>
            <w:tcW w:w="1966" w:type="dxa"/>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c>
          <w:tcPr>
            <w:tcW w:w="2111"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参标单位地址</w:t>
            </w:r>
          </w:p>
        </w:tc>
        <w:tc>
          <w:tcPr>
            <w:tcW w:w="3739"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924"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法人代表</w:t>
            </w:r>
          </w:p>
        </w:tc>
        <w:tc>
          <w:tcPr>
            <w:tcW w:w="3043"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c>
          <w:tcPr>
            <w:tcW w:w="2121"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联系电话</w:t>
            </w:r>
          </w:p>
        </w:tc>
        <w:tc>
          <w:tcPr>
            <w:tcW w:w="2652" w:type="dxa"/>
            <w:tcBorders>
              <w:top w:val="single" w:color="auto" w:sz="4" w:space="0"/>
              <w:left w:val="single" w:color="auto" w:sz="4" w:space="0"/>
              <w:bottom w:val="nil"/>
              <w:right w:val="single" w:color="auto" w:sz="4" w:space="0"/>
            </w:tcBorders>
            <w:noWrap w:val="0"/>
            <w:vAlign w:val="center"/>
          </w:tcPr>
          <w:p>
            <w:pPr>
              <w:spacing w:line="480" w:lineRule="auto"/>
              <w:jc w:val="center"/>
              <w:rPr>
                <w:rFonts w:hint="eastAsia"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924"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联系人</w:t>
            </w:r>
          </w:p>
        </w:tc>
        <w:tc>
          <w:tcPr>
            <w:tcW w:w="3043"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p>
        </w:tc>
        <w:tc>
          <w:tcPr>
            <w:tcW w:w="2121" w:type="dxa"/>
            <w:gridSpan w:val="2"/>
            <w:tcBorders>
              <w:top w:val="single" w:color="auto" w:sz="4" w:space="0"/>
              <w:left w:val="single" w:color="auto" w:sz="4" w:space="0"/>
              <w:bottom w:val="nil"/>
              <w:right w:val="single" w:color="auto" w:sz="4" w:space="0"/>
            </w:tcBorders>
            <w:noWrap w:val="0"/>
            <w:vAlign w:val="center"/>
          </w:tcPr>
          <w:p>
            <w:pPr>
              <w:keepNext w:val="0"/>
              <w:keepLines w:val="0"/>
              <w:pageBreakBefore w:val="0"/>
              <w:kinsoku/>
              <w:wordWrap/>
              <w:overflowPunct/>
              <w:topLinePunct w:val="0"/>
              <w:autoSpaceDE/>
              <w:autoSpaceDN/>
              <w:bidi w:val="0"/>
              <w:spacing w:line="480" w:lineRule="auto"/>
              <w:jc w:val="center"/>
              <w:textAlignment w:val="auto"/>
              <w:rPr>
                <w:rFonts w:hint="eastAsia" w:ascii="仿宋" w:hAnsi="仿宋" w:eastAsia="仿宋" w:cs="仿宋"/>
                <w:bCs/>
                <w:sz w:val="24"/>
                <w:szCs w:val="24"/>
              </w:rPr>
            </w:pPr>
            <w:r>
              <w:rPr>
                <w:rFonts w:hint="eastAsia" w:ascii="仿宋" w:hAnsi="仿宋" w:eastAsia="仿宋" w:cs="仿宋"/>
                <w:bCs/>
                <w:sz w:val="24"/>
                <w:szCs w:val="24"/>
              </w:rPr>
              <w:t>联系电话</w:t>
            </w:r>
          </w:p>
        </w:tc>
        <w:tc>
          <w:tcPr>
            <w:tcW w:w="2652" w:type="dxa"/>
            <w:tcBorders>
              <w:top w:val="single" w:color="auto" w:sz="4" w:space="0"/>
              <w:left w:val="single" w:color="auto" w:sz="4" w:space="0"/>
              <w:bottom w:val="nil"/>
              <w:right w:val="single" w:color="auto" w:sz="4" w:space="0"/>
            </w:tcBorders>
            <w:noWrap w:val="0"/>
            <w:vAlign w:val="center"/>
          </w:tcPr>
          <w:p>
            <w:pPr>
              <w:spacing w:line="480" w:lineRule="auto"/>
              <w:jc w:val="center"/>
              <w:rPr>
                <w:rFonts w:hint="eastAsia"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829"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both"/>
              <w:textAlignment w:val="auto"/>
              <w:rPr>
                <w:rFonts w:hint="eastAsia" w:ascii="仿宋" w:hAnsi="仿宋" w:eastAsia="仿宋" w:cs="仿宋"/>
                <w:color w:val="333333"/>
                <w:sz w:val="24"/>
                <w:szCs w:val="24"/>
              </w:rPr>
            </w:pPr>
            <w:r>
              <w:rPr>
                <w:rStyle w:val="7"/>
                <w:rFonts w:hint="eastAsia" w:ascii="仿宋" w:hAnsi="仿宋" w:eastAsia="仿宋" w:cs="仿宋"/>
                <w:color w:val="333333"/>
                <w:sz w:val="24"/>
                <w:szCs w:val="24"/>
              </w:rPr>
              <w:t>序号</w:t>
            </w:r>
          </w:p>
        </w:tc>
        <w:tc>
          <w:tcPr>
            <w:tcW w:w="4138" w:type="dxa"/>
            <w:gridSpan w:val="3"/>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Style w:val="7"/>
                <w:rFonts w:hint="eastAsia" w:ascii="仿宋" w:hAnsi="仿宋" w:eastAsia="仿宋" w:cs="仿宋"/>
                <w:color w:val="333333"/>
                <w:sz w:val="24"/>
                <w:szCs w:val="24"/>
              </w:rPr>
              <w:t>系统名称</w:t>
            </w:r>
          </w:p>
        </w:tc>
        <w:tc>
          <w:tcPr>
            <w:tcW w:w="2121" w:type="dxa"/>
            <w:gridSpan w:val="2"/>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Style w:val="7"/>
                <w:rFonts w:hint="eastAsia" w:ascii="仿宋" w:hAnsi="仿宋" w:eastAsia="仿宋" w:cs="仿宋"/>
                <w:color w:val="333333"/>
                <w:sz w:val="24"/>
                <w:szCs w:val="24"/>
              </w:rPr>
              <w:t>系统等级</w:t>
            </w:r>
          </w:p>
        </w:tc>
        <w:tc>
          <w:tcPr>
            <w:tcW w:w="2652"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lang w:eastAsia="zh-CN"/>
              </w:rPr>
            </w:pPr>
            <w:r>
              <w:rPr>
                <w:rStyle w:val="7"/>
                <w:rFonts w:hint="eastAsia" w:ascii="仿宋" w:hAnsi="仿宋" w:eastAsia="仿宋" w:cs="仿宋"/>
                <w:color w:val="333333"/>
                <w:sz w:val="24"/>
                <w:szCs w:val="24"/>
                <w:lang w:eastAsia="zh-CN"/>
              </w:rPr>
              <w:t>总报</w:t>
            </w:r>
            <w:r>
              <w:rPr>
                <w:rStyle w:val="7"/>
                <w:rFonts w:hint="eastAsia" w:ascii="仿宋" w:hAnsi="仿宋" w:eastAsia="仿宋" w:cs="仿宋"/>
                <w:color w:val="333333"/>
                <w:sz w:val="24"/>
                <w:szCs w:val="24"/>
              </w:rPr>
              <w:t>价</w:t>
            </w:r>
            <w:r>
              <w:rPr>
                <w:rStyle w:val="7"/>
                <w:rFonts w:hint="eastAsia" w:ascii="仿宋" w:hAnsi="仿宋" w:eastAsia="仿宋" w:cs="仿宋"/>
                <w:color w:val="333333"/>
                <w:sz w:val="24"/>
                <w:szCs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13" w:hRule="atLeast"/>
        </w:trPr>
        <w:tc>
          <w:tcPr>
            <w:tcW w:w="829"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rPr>
              <w:t>1</w:t>
            </w:r>
          </w:p>
        </w:tc>
        <w:tc>
          <w:tcPr>
            <w:tcW w:w="4138" w:type="dxa"/>
            <w:gridSpan w:val="3"/>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shd w:val="clear" w:color="auto" w:fill="FFFFFF"/>
              </w:rPr>
              <w:t>网站群、数字校园平台、智慧校园系统、招生报名系统</w:t>
            </w:r>
          </w:p>
        </w:tc>
        <w:tc>
          <w:tcPr>
            <w:tcW w:w="2121" w:type="dxa"/>
            <w:gridSpan w:val="2"/>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shd w:val="clear" w:color="auto" w:fill="FFFFFF"/>
              </w:rPr>
              <w:t>定级备案</w:t>
            </w:r>
          </w:p>
        </w:tc>
        <w:tc>
          <w:tcPr>
            <w:tcW w:w="2652" w:type="dxa"/>
            <w:vMerge w:val="restart"/>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42" w:hRule="atLeast"/>
        </w:trPr>
        <w:tc>
          <w:tcPr>
            <w:tcW w:w="829" w:type="dxa"/>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rPr>
              <w:t>2</w:t>
            </w:r>
          </w:p>
        </w:tc>
        <w:tc>
          <w:tcPr>
            <w:tcW w:w="4138" w:type="dxa"/>
            <w:gridSpan w:val="3"/>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shd w:val="clear" w:color="auto" w:fill="FFFFFF"/>
              </w:rPr>
              <w:t>网站群系统、数字校园平台</w:t>
            </w:r>
          </w:p>
        </w:tc>
        <w:tc>
          <w:tcPr>
            <w:tcW w:w="2121" w:type="dxa"/>
            <w:gridSpan w:val="2"/>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r>
              <w:rPr>
                <w:rFonts w:hint="eastAsia" w:ascii="仿宋" w:hAnsi="仿宋" w:eastAsia="仿宋" w:cs="仿宋"/>
                <w:color w:val="333333"/>
                <w:sz w:val="24"/>
                <w:szCs w:val="24"/>
              </w:rPr>
              <w:t>测评（二级）</w:t>
            </w:r>
          </w:p>
        </w:tc>
        <w:tc>
          <w:tcPr>
            <w:tcW w:w="2652" w:type="dxa"/>
            <w:vMerge w:val="continue"/>
            <w:shd w:val="clear" w:color="auto" w:fill="FFFFFF"/>
            <w:tcMar>
              <w:top w:w="90" w:type="dxa"/>
              <w:left w:w="120" w:type="dxa"/>
              <w:bottom w:w="90" w:type="dxa"/>
              <w:right w:w="120" w:type="dxa"/>
            </w:tcMar>
            <w:vAlign w:val="center"/>
          </w:tcPr>
          <w:p>
            <w:pPr>
              <w:pStyle w:val="4"/>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jc w:val="center"/>
              <w:textAlignment w:val="auto"/>
              <w:rPr>
                <w:rFonts w:hint="eastAsia" w:ascii="仿宋" w:hAnsi="仿宋" w:eastAsia="仿宋" w:cs="仿宋"/>
                <w:color w:val="333333"/>
                <w:sz w:val="24"/>
                <w:szCs w:val="24"/>
              </w:rPr>
            </w:pPr>
          </w:p>
        </w:tc>
      </w:tr>
    </w:tbl>
    <w:p>
      <w:pPr>
        <w:pStyle w:val="4"/>
        <w:keepNext w:val="0"/>
        <w:keepLines w:val="0"/>
        <w:pageBreakBefore w:val="0"/>
        <w:widowControl/>
        <w:numPr>
          <w:numId w:val="0"/>
        </w:numPr>
        <w:kinsoku/>
        <w:wordWrap/>
        <w:overflowPunct/>
        <w:topLinePunct w:val="0"/>
        <w:autoSpaceDE/>
        <w:autoSpaceDN/>
        <w:bidi w:val="0"/>
        <w:adjustRightInd w:val="0"/>
        <w:snapToGrid w:val="0"/>
        <w:spacing w:beforeAutospacing="0" w:afterAutospacing="0" w:line="300" w:lineRule="auto"/>
        <w:ind w:leftChars="0"/>
        <w:textAlignment w:val="auto"/>
        <w:rPr>
          <w:rFonts w:hint="eastAsia" w:ascii="仿宋" w:hAnsi="仿宋" w:eastAsia="仿宋" w:cs="仿宋"/>
          <w:color w:val="333333"/>
          <w:sz w:val="21"/>
          <w:szCs w:val="21"/>
          <w:shd w:val="clear" w:color="auto" w:fill="FFFFFF"/>
          <w:lang w:eastAsia="zh-CN"/>
        </w:rPr>
      </w:pPr>
    </w:p>
    <w:p>
      <w:pPr>
        <w:spacing w:line="360" w:lineRule="auto"/>
        <w:rPr>
          <w:rFonts w:hint="eastAsia" w:ascii="仿宋" w:hAnsi="仿宋" w:eastAsia="仿宋" w:cs="仿宋"/>
          <w:bCs/>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.1本项目设预算指导总价，高于指导总价的报价无效。</w:t>
      </w:r>
    </w:p>
    <w:p>
      <w:pPr>
        <w:spacing w:line="360" w:lineRule="auto"/>
        <w:rPr>
          <w:rFonts w:hint="eastAsia" w:ascii="仿宋" w:hAnsi="仿宋" w:eastAsia="仿宋" w:cs="仿宋"/>
          <w:bCs/>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.2该报价包含</w:t>
      </w:r>
      <w:r>
        <w:rPr>
          <w:rFonts w:hint="eastAsia" w:ascii="仿宋" w:hAnsi="仿宋" w:eastAsia="仿宋" w:cs="仿宋"/>
          <w:bCs/>
          <w:sz w:val="28"/>
          <w:szCs w:val="28"/>
          <w:lang w:eastAsia="zh-CN"/>
        </w:rPr>
        <w:t>服务、交通</w:t>
      </w:r>
      <w:r>
        <w:rPr>
          <w:rFonts w:hint="eastAsia" w:ascii="仿宋" w:hAnsi="仿宋" w:eastAsia="仿宋" w:cs="仿宋"/>
          <w:bCs/>
          <w:sz w:val="28"/>
          <w:szCs w:val="28"/>
        </w:rPr>
        <w:t>、调试、</w:t>
      </w:r>
      <w:r>
        <w:rPr>
          <w:rFonts w:hint="eastAsia" w:ascii="仿宋" w:hAnsi="仿宋" w:eastAsia="仿宋" w:cs="仿宋"/>
          <w:bCs/>
          <w:sz w:val="28"/>
          <w:szCs w:val="28"/>
          <w:lang w:eastAsia="zh-CN"/>
        </w:rPr>
        <w:t>培训、</w:t>
      </w:r>
      <w:r>
        <w:rPr>
          <w:rFonts w:hint="eastAsia" w:ascii="仿宋" w:hAnsi="仿宋" w:eastAsia="仿宋" w:cs="仿宋"/>
          <w:bCs/>
          <w:sz w:val="28"/>
          <w:szCs w:val="28"/>
        </w:rPr>
        <w:t>税金等所有费用。</w:t>
      </w:r>
    </w:p>
    <w:p>
      <w:pPr>
        <w:spacing w:line="360" w:lineRule="auto"/>
        <w:rPr>
          <w:rFonts w:hint="eastAsia" w:ascii="仿宋" w:hAnsi="仿宋" w:eastAsia="仿宋" w:cs="仿宋"/>
          <w:bCs/>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.3中标人不得转包他人，若发现转包，招标人有权取消中标人资格，并由中标人承担包括赔偿相应经济损失等的一切责任。</w:t>
      </w:r>
    </w:p>
    <w:p>
      <w:pPr>
        <w:spacing w:line="360" w:lineRule="auto"/>
        <w:rPr>
          <w:rFonts w:hint="eastAsia" w:ascii="仿宋" w:hAnsi="仿宋" w:eastAsia="仿宋" w:cs="仿宋"/>
          <w:color w:val="000000"/>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.4工期要求：</w:t>
      </w:r>
      <w:r>
        <w:rPr>
          <w:rFonts w:hint="eastAsia" w:ascii="仿宋" w:hAnsi="仿宋" w:eastAsia="仿宋" w:cs="仿宋"/>
          <w:color w:val="333333"/>
          <w:sz w:val="28"/>
          <w:szCs w:val="28"/>
          <w:shd w:val="clear" w:color="auto" w:fill="FFFFFF"/>
        </w:rPr>
        <w:t>合同签订后90个工作日完成。</w:t>
      </w:r>
    </w:p>
    <w:p>
      <w:pPr>
        <w:rPr>
          <w:rFonts w:hint="eastAsia" w:ascii="楷体_GB2312" w:hAnsi="宋体" w:eastAsia="楷体_GB2312"/>
          <w:bCs/>
          <w:sz w:val="28"/>
          <w:szCs w:val="28"/>
        </w:rPr>
      </w:pPr>
    </w:p>
    <w:p>
      <w:pPr>
        <w:rPr>
          <w:rFonts w:hint="eastAsia" w:ascii="楷体_GB2312" w:hAnsi="宋体" w:eastAsia="楷体_GB2312"/>
          <w:bCs/>
          <w:sz w:val="28"/>
          <w:szCs w:val="28"/>
        </w:rPr>
      </w:pPr>
    </w:p>
    <w:p>
      <w:pPr>
        <w:rPr>
          <w:rFonts w:hint="eastAsia" w:ascii="仿宋" w:hAnsi="仿宋" w:eastAsia="仿宋" w:cs="仿宋"/>
          <w:bCs/>
          <w:sz w:val="28"/>
          <w:szCs w:val="28"/>
        </w:rPr>
      </w:pPr>
      <w:r>
        <w:rPr>
          <w:rFonts w:hint="eastAsia" w:ascii="仿宋" w:hAnsi="仿宋" w:eastAsia="仿宋" w:cs="仿宋"/>
          <w:bCs/>
          <w:sz w:val="28"/>
          <w:szCs w:val="28"/>
        </w:rPr>
        <w:t xml:space="preserve">报价单位（盖章） </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 xml:space="preserve">   法人签字：</w:t>
      </w:r>
      <w:r>
        <w:rPr>
          <w:rFonts w:hint="eastAsia" w:ascii="仿宋" w:hAnsi="仿宋" w:eastAsia="仿宋" w:cs="仿宋"/>
          <w:bCs/>
          <w:sz w:val="28"/>
          <w:szCs w:val="28"/>
          <w:u w:val="single"/>
        </w:rPr>
        <w:t xml:space="preserve">               </w:t>
      </w:r>
    </w:p>
    <w:p>
      <w:pPr>
        <w:rPr>
          <w:rFonts w:hint="eastAsia" w:ascii="仿宋" w:hAnsi="仿宋" w:eastAsia="仿宋" w:cs="仿宋"/>
        </w:rPr>
      </w:pPr>
      <w:r>
        <w:rPr>
          <w:rFonts w:hint="eastAsia" w:ascii="仿宋" w:hAnsi="仿宋" w:eastAsia="仿宋" w:cs="仿宋"/>
        </w:rPr>
        <w:br w:type="page"/>
      </w:r>
    </w:p>
    <w:p>
      <w:pPr>
        <w:jc w:val="right"/>
        <w:rPr>
          <w:rFonts w:hint="eastAsia" w:ascii="仿宋" w:hAnsi="仿宋" w:eastAsia="仿宋" w:cs="仿宋"/>
          <w:bCs/>
          <w:sz w:val="28"/>
          <w:szCs w:val="28"/>
          <w:lang w:val="en-US" w:eastAsia="zh-CN"/>
        </w:rPr>
      </w:pPr>
      <w:r>
        <w:rPr>
          <w:rFonts w:hint="eastAsia" w:ascii="宋体" w:hAnsi="宋体"/>
          <w:bCs/>
          <w:sz w:val="24"/>
        </w:rPr>
        <w:t xml:space="preserve"> </w:t>
      </w:r>
      <w:r>
        <w:rPr>
          <w:rFonts w:hint="eastAsia" w:ascii="仿宋" w:hAnsi="仿宋" w:eastAsia="仿宋" w:cs="仿宋"/>
          <w:bCs/>
          <w:sz w:val="28"/>
          <w:szCs w:val="28"/>
        </w:rPr>
        <w:t>采购编号：lszjy20</w:t>
      </w:r>
      <w:r>
        <w:rPr>
          <w:rFonts w:hint="eastAsia" w:ascii="仿宋" w:hAnsi="仿宋" w:eastAsia="仿宋" w:cs="仿宋"/>
          <w:bCs/>
          <w:sz w:val="28"/>
          <w:szCs w:val="28"/>
          <w:lang w:val="en-US" w:eastAsia="zh-CN"/>
        </w:rPr>
        <w:t>201104</w:t>
      </w:r>
    </w:p>
    <w:p>
      <w:pPr>
        <w:snapToGrid w:val="0"/>
        <w:spacing w:line="360" w:lineRule="auto"/>
        <w:jc w:val="center"/>
        <w:rPr>
          <w:rFonts w:hint="eastAsia" w:ascii="楷体" w:hAnsi="楷体" w:eastAsia="楷体" w:cs="楷体"/>
          <w:bCs/>
          <w:sz w:val="30"/>
          <w:szCs w:val="30"/>
          <w:lang w:eastAsia="zh-CN"/>
        </w:rPr>
      </w:pPr>
    </w:p>
    <w:p>
      <w:pPr>
        <w:snapToGrid w:val="0"/>
        <w:spacing w:line="360" w:lineRule="auto"/>
        <w:jc w:val="center"/>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丽水职业技术学院</w:t>
      </w:r>
    </w:p>
    <w:p>
      <w:pPr>
        <w:snapToGrid w:val="0"/>
        <w:spacing w:line="360" w:lineRule="auto"/>
        <w:jc w:val="center"/>
        <w:rPr>
          <w:rFonts w:hint="eastAsia" w:ascii="仿宋" w:hAnsi="仿宋" w:eastAsia="仿宋" w:cs="仿宋"/>
          <w:bCs/>
          <w:sz w:val="52"/>
          <w:szCs w:val="52"/>
        </w:rPr>
      </w:pPr>
      <w:r>
        <w:rPr>
          <w:rFonts w:hint="eastAsia" w:ascii="仿宋" w:hAnsi="仿宋" w:eastAsia="仿宋" w:cs="仿宋"/>
          <w:b w:val="0"/>
          <w:bCs/>
          <w:sz w:val="48"/>
          <w:szCs w:val="48"/>
        </w:rPr>
        <w:t>信息系统定级备案测评服务</w:t>
      </w:r>
      <w:r>
        <w:rPr>
          <w:rFonts w:hint="eastAsia" w:ascii="仿宋" w:hAnsi="仿宋" w:eastAsia="仿宋" w:cs="仿宋"/>
          <w:b w:val="0"/>
          <w:bCs/>
          <w:sz w:val="48"/>
          <w:szCs w:val="48"/>
          <w:lang w:eastAsia="zh-CN"/>
        </w:rPr>
        <w:t>采购项目</w:t>
      </w:r>
    </w:p>
    <w:p>
      <w:pPr>
        <w:snapToGrid w:val="0"/>
        <w:spacing w:line="360" w:lineRule="auto"/>
        <w:jc w:val="center"/>
        <w:rPr>
          <w:rFonts w:hint="eastAsia" w:ascii="仿宋" w:hAnsi="仿宋" w:eastAsia="仿宋" w:cs="仿宋"/>
          <w:bCs/>
          <w:sz w:val="52"/>
          <w:szCs w:val="52"/>
        </w:rPr>
      </w:pPr>
    </w:p>
    <w:p>
      <w:pPr>
        <w:snapToGrid w:val="0"/>
        <w:spacing w:line="360" w:lineRule="auto"/>
        <w:jc w:val="center"/>
        <w:rPr>
          <w:rFonts w:hint="eastAsia" w:ascii="仿宋" w:hAnsi="仿宋" w:eastAsia="仿宋" w:cs="仿宋"/>
          <w:bCs/>
          <w:sz w:val="72"/>
          <w:szCs w:val="72"/>
        </w:rPr>
      </w:pPr>
      <w:r>
        <w:rPr>
          <w:rFonts w:hint="eastAsia" w:ascii="仿宋" w:hAnsi="仿宋" w:eastAsia="仿宋" w:cs="仿宋"/>
          <w:bCs/>
          <w:sz w:val="72"/>
          <w:szCs w:val="72"/>
        </w:rPr>
        <w:t>投</w:t>
      </w:r>
    </w:p>
    <w:p>
      <w:pPr>
        <w:snapToGrid w:val="0"/>
        <w:spacing w:line="360" w:lineRule="auto"/>
        <w:jc w:val="center"/>
        <w:rPr>
          <w:rFonts w:hint="eastAsia" w:ascii="仿宋" w:hAnsi="仿宋" w:eastAsia="仿宋" w:cs="仿宋"/>
          <w:bCs/>
          <w:sz w:val="72"/>
          <w:szCs w:val="72"/>
        </w:rPr>
      </w:pPr>
      <w:r>
        <w:rPr>
          <w:rFonts w:hint="eastAsia" w:ascii="仿宋" w:hAnsi="仿宋" w:eastAsia="仿宋" w:cs="仿宋"/>
          <w:bCs/>
          <w:sz w:val="72"/>
          <w:szCs w:val="72"/>
        </w:rPr>
        <w:t>标</w:t>
      </w:r>
    </w:p>
    <w:p>
      <w:pPr>
        <w:snapToGrid w:val="0"/>
        <w:spacing w:line="360" w:lineRule="auto"/>
        <w:jc w:val="center"/>
        <w:rPr>
          <w:rFonts w:hint="eastAsia" w:ascii="仿宋" w:hAnsi="仿宋" w:eastAsia="仿宋" w:cs="仿宋"/>
          <w:bCs/>
          <w:sz w:val="72"/>
          <w:szCs w:val="72"/>
        </w:rPr>
      </w:pPr>
      <w:r>
        <w:rPr>
          <w:rFonts w:hint="eastAsia" w:ascii="仿宋" w:hAnsi="仿宋" w:eastAsia="仿宋" w:cs="仿宋"/>
          <w:bCs/>
          <w:sz w:val="72"/>
          <w:szCs w:val="72"/>
        </w:rPr>
        <w:t>文</w:t>
      </w:r>
    </w:p>
    <w:p>
      <w:pPr>
        <w:snapToGrid w:val="0"/>
        <w:spacing w:line="360" w:lineRule="auto"/>
        <w:jc w:val="center"/>
        <w:rPr>
          <w:rFonts w:hint="eastAsia" w:ascii="仿宋" w:hAnsi="仿宋" w:eastAsia="仿宋" w:cs="仿宋"/>
          <w:bCs/>
          <w:sz w:val="72"/>
          <w:szCs w:val="72"/>
        </w:rPr>
      </w:pPr>
      <w:r>
        <w:rPr>
          <w:rFonts w:hint="eastAsia" w:ascii="仿宋" w:hAnsi="仿宋" w:eastAsia="仿宋" w:cs="仿宋"/>
          <w:bCs/>
          <w:sz w:val="72"/>
          <w:szCs w:val="72"/>
        </w:rPr>
        <w:t>件</w:t>
      </w:r>
    </w:p>
    <w:p>
      <w:pPr>
        <w:snapToGrid w:val="0"/>
        <w:spacing w:line="360" w:lineRule="auto"/>
        <w:ind w:firstLine="2502" w:firstLineChars="695"/>
        <w:rPr>
          <w:rFonts w:hint="eastAsia" w:ascii="仿宋" w:hAnsi="仿宋" w:eastAsia="仿宋" w:cs="仿宋"/>
          <w:bCs/>
          <w:sz w:val="36"/>
          <w:szCs w:val="36"/>
        </w:rPr>
      </w:pPr>
    </w:p>
    <w:p>
      <w:pPr>
        <w:snapToGrid w:val="0"/>
        <w:spacing w:line="360" w:lineRule="auto"/>
        <w:ind w:firstLine="2502" w:firstLineChars="695"/>
        <w:rPr>
          <w:rFonts w:hint="eastAsia" w:ascii="仿宋" w:hAnsi="仿宋" w:eastAsia="仿宋" w:cs="仿宋"/>
          <w:bCs/>
          <w:sz w:val="36"/>
          <w:szCs w:val="36"/>
        </w:rPr>
      </w:pPr>
      <w:r>
        <w:rPr>
          <w:rFonts w:hint="eastAsia" w:ascii="仿宋" w:hAnsi="仿宋" w:eastAsia="仿宋" w:cs="仿宋"/>
          <w:bCs/>
          <w:sz w:val="36"/>
          <w:szCs w:val="36"/>
        </w:rPr>
        <w:t>投标单位：XXX（公章）</w:t>
      </w:r>
    </w:p>
    <w:p>
      <w:pPr>
        <w:ind w:firstLine="3240" w:firstLineChars="900"/>
        <w:rPr>
          <w:rFonts w:hint="eastAsia" w:ascii="仿宋" w:hAnsi="仿宋" w:eastAsia="仿宋" w:cs="仿宋"/>
          <w:bCs/>
          <w:sz w:val="36"/>
          <w:szCs w:val="36"/>
        </w:rPr>
      </w:pPr>
      <w:r>
        <w:rPr>
          <w:rFonts w:hint="eastAsia" w:ascii="仿宋" w:hAnsi="仿宋" w:eastAsia="仿宋" w:cs="仿宋"/>
          <w:bCs/>
          <w:sz w:val="36"/>
          <w:szCs w:val="36"/>
        </w:rPr>
        <w:t>20</w:t>
      </w:r>
      <w:r>
        <w:rPr>
          <w:rFonts w:hint="eastAsia" w:ascii="仿宋" w:hAnsi="仿宋" w:eastAsia="仿宋" w:cs="仿宋"/>
          <w:bCs/>
          <w:sz w:val="36"/>
          <w:szCs w:val="36"/>
          <w:lang w:val="en-US" w:eastAsia="zh-CN"/>
        </w:rPr>
        <w:t>20</w:t>
      </w:r>
      <w:r>
        <w:rPr>
          <w:rFonts w:hint="eastAsia" w:ascii="仿宋" w:hAnsi="仿宋" w:eastAsia="仿宋" w:cs="仿宋"/>
          <w:bCs/>
          <w:sz w:val="36"/>
          <w:szCs w:val="36"/>
        </w:rPr>
        <w:t>年   月   日</w:t>
      </w:r>
    </w:p>
    <w:p>
      <w:pPr>
        <w:snapToGrid w:val="0"/>
        <w:spacing w:line="360" w:lineRule="auto"/>
        <w:ind w:firstLine="560" w:firstLineChars="200"/>
        <w:rPr>
          <w:rFonts w:hint="eastAsia" w:ascii="仿宋" w:hAnsi="仿宋" w:eastAsia="仿宋" w:cs="仿宋"/>
          <w:bCs/>
          <w:sz w:val="28"/>
          <w:szCs w:val="28"/>
        </w:rPr>
      </w:pPr>
    </w:p>
    <w:p>
      <w:pPr>
        <w:snapToGrid w:val="0"/>
        <w:spacing w:line="360" w:lineRule="auto"/>
        <w:ind w:firstLine="560" w:firstLineChars="200"/>
        <w:rPr>
          <w:rFonts w:hint="eastAsia" w:ascii="仿宋" w:hAnsi="仿宋" w:eastAsia="仿宋" w:cs="仿宋"/>
        </w:rPr>
      </w:pPr>
      <w:r>
        <w:rPr>
          <w:rFonts w:hint="eastAsia" w:ascii="仿宋" w:hAnsi="仿宋" w:eastAsia="仿宋" w:cs="仿宋"/>
          <w:bCs/>
          <w:sz w:val="28"/>
          <w:szCs w:val="28"/>
        </w:rPr>
        <w:t>投标文件内容：营业执照副本、税务登记证复印件；法人或委托人身份证及复印件，委托人需提供法人委托书；报价单及有关投标人需提供的相关资料。</w:t>
      </w:r>
      <w:bookmarkStart w:id="0" w:name="_GoBack"/>
      <w:bookmarkEnd w:id="0"/>
      <w:r>
        <w:rPr>
          <w:rFonts w:hint="eastAsia" w:ascii="仿宋" w:hAnsi="仿宋" w:eastAsia="仿宋" w:cs="仿宋"/>
          <w:bCs/>
          <w:sz w:val="28"/>
          <w:szCs w:val="28"/>
        </w:rPr>
        <w:t>本页为投标文件封面。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69635"/>
    <w:multiLevelType w:val="singleLevel"/>
    <w:tmpl w:val="A5769635"/>
    <w:lvl w:ilvl="0" w:tentative="0">
      <w:start w:val="1"/>
      <w:numFmt w:val="decimal"/>
      <w:lvlText w:val="%1."/>
      <w:lvlJc w:val="left"/>
      <w:pPr>
        <w:ind w:left="425" w:hanging="425"/>
      </w:pPr>
      <w:rPr>
        <w:rFonts w:hint="default"/>
      </w:rPr>
    </w:lvl>
  </w:abstractNum>
  <w:abstractNum w:abstractNumId="1">
    <w:nsid w:val="C1F0FB45"/>
    <w:multiLevelType w:val="singleLevel"/>
    <w:tmpl w:val="C1F0FB45"/>
    <w:lvl w:ilvl="0" w:tentative="0">
      <w:start w:val="1"/>
      <w:numFmt w:val="decimal"/>
      <w:lvlText w:val="%1."/>
      <w:lvlJc w:val="left"/>
      <w:pPr>
        <w:ind w:left="425" w:hanging="425"/>
      </w:pPr>
      <w:rPr>
        <w:rFonts w:hint="default"/>
      </w:rPr>
    </w:lvl>
  </w:abstractNum>
  <w:abstractNum w:abstractNumId="2">
    <w:nsid w:val="C9539379"/>
    <w:multiLevelType w:val="singleLevel"/>
    <w:tmpl w:val="C9539379"/>
    <w:lvl w:ilvl="0" w:tentative="0">
      <w:start w:val="9"/>
      <w:numFmt w:val="chineseCounting"/>
      <w:suff w:val="nothing"/>
      <w:lvlText w:val="%1、"/>
      <w:lvlJc w:val="left"/>
      <w:rPr>
        <w:rFonts w:hint="eastAsia"/>
      </w:rPr>
    </w:lvl>
  </w:abstractNum>
  <w:abstractNum w:abstractNumId="3">
    <w:nsid w:val="D9E8D60E"/>
    <w:multiLevelType w:val="singleLevel"/>
    <w:tmpl w:val="D9E8D60E"/>
    <w:lvl w:ilvl="0" w:tentative="0">
      <w:start w:val="1"/>
      <w:numFmt w:val="decimal"/>
      <w:lvlText w:val="%1."/>
      <w:lvlJc w:val="left"/>
      <w:pPr>
        <w:ind w:left="425" w:hanging="425"/>
      </w:pPr>
      <w:rPr>
        <w:rFonts w:hint="default"/>
      </w:rPr>
    </w:lvl>
  </w:abstractNum>
  <w:abstractNum w:abstractNumId="4">
    <w:nsid w:val="FFDC6BCC"/>
    <w:multiLevelType w:val="singleLevel"/>
    <w:tmpl w:val="FFDC6BCC"/>
    <w:lvl w:ilvl="0" w:tentative="0">
      <w:start w:val="1"/>
      <w:numFmt w:val="decimal"/>
      <w:lvlText w:val="(%1)"/>
      <w:lvlJc w:val="left"/>
      <w:pPr>
        <w:ind w:left="425" w:hanging="425"/>
      </w:pPr>
      <w:rPr>
        <w:rFonts w:hint="default"/>
      </w:rPr>
    </w:lvl>
  </w:abstractNum>
  <w:abstractNum w:abstractNumId="5">
    <w:nsid w:val="031BC42B"/>
    <w:multiLevelType w:val="singleLevel"/>
    <w:tmpl w:val="031BC42B"/>
    <w:lvl w:ilvl="0" w:tentative="0">
      <w:start w:val="1"/>
      <w:numFmt w:val="decimal"/>
      <w:lvlText w:val="%1."/>
      <w:lvlJc w:val="left"/>
      <w:pPr>
        <w:ind w:left="425" w:hanging="425"/>
      </w:pPr>
      <w:rPr>
        <w:rFonts w:hint="default"/>
      </w:rPr>
    </w:lvl>
  </w:abstractNum>
  <w:abstractNum w:abstractNumId="6">
    <w:nsid w:val="33B877B6"/>
    <w:multiLevelType w:val="singleLevel"/>
    <w:tmpl w:val="33B877B6"/>
    <w:lvl w:ilvl="0" w:tentative="0">
      <w:start w:val="1"/>
      <w:numFmt w:val="decimal"/>
      <w:lvlText w:val="(%1)"/>
      <w:lvlJc w:val="left"/>
      <w:pPr>
        <w:ind w:left="425" w:hanging="425"/>
      </w:pPr>
      <w:rPr>
        <w:rFonts w:hint="default"/>
      </w:rPr>
    </w:lvl>
  </w:abstractNum>
  <w:abstractNum w:abstractNumId="7">
    <w:nsid w:val="472953ED"/>
    <w:multiLevelType w:val="singleLevel"/>
    <w:tmpl w:val="472953ED"/>
    <w:lvl w:ilvl="0" w:tentative="0">
      <w:start w:val="1"/>
      <w:numFmt w:val="decimal"/>
      <w:lvlText w:val="%1."/>
      <w:lvlJc w:val="left"/>
      <w:pPr>
        <w:ind w:left="425" w:hanging="425"/>
      </w:pPr>
      <w:rPr>
        <w:rFonts w:hint="default"/>
      </w:rPr>
    </w:lvl>
  </w:abstractNum>
  <w:abstractNum w:abstractNumId="8">
    <w:nsid w:val="66D481CB"/>
    <w:multiLevelType w:val="singleLevel"/>
    <w:tmpl w:val="66D481CB"/>
    <w:lvl w:ilvl="0" w:tentative="0">
      <w:start w:val="1"/>
      <w:numFmt w:val="decimal"/>
      <w:lvlText w:val="%1."/>
      <w:lvlJc w:val="left"/>
      <w:pPr>
        <w:ind w:left="425" w:hanging="425"/>
      </w:pPr>
      <w:rPr>
        <w:rFonts w:hint="default"/>
      </w:rPr>
    </w:lvl>
  </w:abstractNum>
  <w:num w:numId="1">
    <w:abstractNumId w:val="5"/>
  </w:num>
  <w:num w:numId="2">
    <w:abstractNumId w:val="8"/>
  </w:num>
  <w:num w:numId="3">
    <w:abstractNumId w:val="1"/>
  </w:num>
  <w:num w:numId="4">
    <w:abstractNumId w:val="4"/>
  </w:num>
  <w:num w:numId="5">
    <w:abstractNumId w:val="6"/>
  </w:num>
  <w:num w:numId="6">
    <w:abstractNumId w:val="0"/>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D83EBC"/>
    <w:rsid w:val="008E3353"/>
    <w:rsid w:val="00E9286C"/>
    <w:rsid w:val="030A2107"/>
    <w:rsid w:val="049F1391"/>
    <w:rsid w:val="14AE6FC4"/>
    <w:rsid w:val="18C20EC6"/>
    <w:rsid w:val="1B4743C2"/>
    <w:rsid w:val="217C7AE0"/>
    <w:rsid w:val="24C30AE9"/>
    <w:rsid w:val="2C546889"/>
    <w:rsid w:val="318B2ACA"/>
    <w:rsid w:val="3C4007CD"/>
    <w:rsid w:val="3C45614A"/>
    <w:rsid w:val="44D83EBC"/>
    <w:rsid w:val="49BE78F2"/>
    <w:rsid w:val="4C491062"/>
    <w:rsid w:val="4D44272E"/>
    <w:rsid w:val="59BE6AEE"/>
    <w:rsid w:val="5CB00173"/>
    <w:rsid w:val="62001AE6"/>
    <w:rsid w:val="68565F7E"/>
    <w:rsid w:val="73F66353"/>
    <w:rsid w:val="7AF71B56"/>
    <w:rsid w:val="7BBD0858"/>
    <w:rsid w:val="7C577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2204</Words>
  <Characters>275</Characters>
  <Lines>2</Lines>
  <Paragraphs>4</Paragraphs>
  <TotalTime>1</TotalTime>
  <ScaleCrop>false</ScaleCrop>
  <LinksUpToDate>false</LinksUpToDate>
  <CharactersWithSpaces>2475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2020-10-10T01:11:00Z</dcterms:created>
  <dc:creator>小飞蛇</dc:creator>
  <cp:lastModifiedBy>老钭</cp:lastModifiedBy>
  <dcterms:modified xsi:type="dcterms:W3CDTF">2020-11-04T02:19:20Z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