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hint="eastAsia" w:ascii="黑体" w:hAnsi="黑体" w:eastAsia="黑体" w:cs="宋体"/>
          <w:b/>
          <w:color w:val="333333"/>
          <w:kern w:val="0"/>
          <w:sz w:val="30"/>
          <w:szCs w:val="30"/>
        </w:rPr>
      </w:pPr>
      <w:r>
        <w:rPr>
          <w:rFonts w:hint="eastAsia" w:ascii="黑体" w:hAnsi="黑体" w:eastAsia="黑体" w:cs="宋体"/>
          <w:b/>
          <w:color w:val="333333"/>
          <w:kern w:val="0"/>
          <w:sz w:val="30"/>
          <w:szCs w:val="30"/>
        </w:rPr>
        <w:t>丽水职业技术学院白蚁防治服务项目竞争性磋商公告</w:t>
      </w:r>
    </w:p>
    <w:p>
      <w:pPr>
        <w:widowControl/>
        <w:spacing w:line="360" w:lineRule="auto"/>
        <w:ind w:firstLine="482"/>
        <w:jc w:val="left"/>
        <w:rPr>
          <w:rFonts w:hint="eastAsia" w:ascii="宋体" w:hAnsi="宋体" w:eastAsia="宋体" w:cs="宋体"/>
          <w:color w:val="333333"/>
          <w:kern w:val="0"/>
          <w:sz w:val="24"/>
          <w:szCs w:val="24"/>
        </w:rPr>
      </w:pPr>
    </w:p>
    <w:p>
      <w:pPr>
        <w:widowControl/>
        <w:spacing w:line="360" w:lineRule="auto"/>
        <w:ind w:firstLine="482"/>
        <w:jc w:val="left"/>
        <w:rPr>
          <w:rFonts w:hint="eastAsia" w:cs="宋体" w:asciiTheme="minorEastAsia" w:hAnsiTheme="minorEastAsia"/>
          <w:color w:val="333333"/>
          <w:kern w:val="0"/>
          <w:sz w:val="28"/>
          <w:szCs w:val="28"/>
        </w:rPr>
      </w:pPr>
      <w:r>
        <w:rPr>
          <w:rFonts w:hint="eastAsia" w:cs="宋体" w:asciiTheme="minorEastAsia" w:hAnsiTheme="minorEastAsia"/>
          <w:color w:val="333333"/>
          <w:kern w:val="0"/>
          <w:sz w:val="28"/>
          <w:szCs w:val="28"/>
        </w:rPr>
        <w:t>丽水职业技术学院后勤服务有限公司本着公平、公正、公开的原则，就白蚁防治工作开展自主招标，现邀请有意向的投标单位在公告规定的时间内完成资格预审报名及资料提交。</w:t>
      </w:r>
    </w:p>
    <w:p>
      <w:pPr>
        <w:widowControl/>
        <w:spacing w:line="360" w:lineRule="auto"/>
        <w:ind w:firstLine="482"/>
        <w:jc w:val="left"/>
        <w:rPr>
          <w:rFonts w:hint="eastAsia"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t>一、防治范围</w:t>
      </w:r>
    </w:p>
    <w:p>
      <w:pPr>
        <w:widowControl/>
        <w:spacing w:line="360" w:lineRule="auto"/>
        <w:ind w:firstLine="482"/>
        <w:jc w:val="left"/>
        <w:rPr>
          <w:rFonts w:hint="eastAsia" w:cs="宋体" w:asciiTheme="minorEastAsia" w:hAnsiTheme="minorEastAsia"/>
          <w:color w:val="333333"/>
          <w:kern w:val="0"/>
          <w:sz w:val="28"/>
          <w:szCs w:val="28"/>
        </w:rPr>
      </w:pPr>
      <w:r>
        <w:rPr>
          <w:rFonts w:hint="eastAsia" w:cs="宋体" w:asciiTheme="minorEastAsia" w:hAnsiTheme="minorEastAsia"/>
          <w:color w:val="333333"/>
          <w:kern w:val="0"/>
          <w:sz w:val="28"/>
          <w:szCs w:val="28"/>
        </w:rPr>
        <w:t>丽水职业技术学院所属土地的地上、地下所有建筑物和绿化林地的白蚁防治。学校占地</w:t>
      </w:r>
      <w:r>
        <w:rPr>
          <w:rFonts w:hint="eastAsia" w:cs="宋体" w:asciiTheme="minorEastAsia" w:hAnsiTheme="minorEastAsia"/>
          <w:color w:val="333333"/>
          <w:kern w:val="0"/>
          <w:sz w:val="28"/>
          <w:szCs w:val="28"/>
          <w:lang w:val="en-US" w:eastAsia="zh-CN"/>
        </w:rPr>
        <w:t>470</w:t>
      </w:r>
      <w:r>
        <w:rPr>
          <w:rFonts w:hint="eastAsia" w:cs="宋体" w:asciiTheme="minorEastAsia" w:hAnsiTheme="minorEastAsia"/>
          <w:color w:val="333333"/>
          <w:kern w:val="0"/>
          <w:sz w:val="28"/>
          <w:szCs w:val="28"/>
        </w:rPr>
        <w:t>亩，校舍建筑面积共计</w:t>
      </w:r>
      <w:r>
        <w:rPr>
          <w:rFonts w:hint="eastAsia" w:cs="宋体" w:asciiTheme="minorEastAsia" w:hAnsiTheme="minorEastAsia"/>
          <w:color w:val="333333"/>
          <w:kern w:val="0"/>
          <w:sz w:val="28"/>
          <w:szCs w:val="28"/>
          <w:lang w:val="en-US" w:eastAsia="zh-CN"/>
        </w:rPr>
        <w:t>22.5万</w:t>
      </w:r>
      <w:r>
        <w:rPr>
          <w:rFonts w:hint="eastAsia" w:cs="宋体" w:asciiTheme="minorEastAsia" w:hAnsiTheme="minorEastAsia"/>
          <w:color w:val="333333"/>
          <w:kern w:val="0"/>
          <w:sz w:val="28"/>
          <w:szCs w:val="28"/>
        </w:rPr>
        <w:t>平方米。</w:t>
      </w:r>
    </w:p>
    <w:p>
      <w:pPr>
        <w:widowControl/>
        <w:spacing w:line="360" w:lineRule="auto"/>
        <w:ind w:firstLine="482"/>
        <w:jc w:val="left"/>
        <w:rPr>
          <w:rFonts w:hint="eastAsia"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t>二、防治费用</w:t>
      </w:r>
    </w:p>
    <w:p>
      <w:pPr>
        <w:widowControl/>
        <w:spacing w:line="360" w:lineRule="auto"/>
        <w:ind w:firstLine="482"/>
        <w:jc w:val="left"/>
        <w:rPr>
          <w:rFonts w:hint="eastAsia" w:cs="宋体" w:asciiTheme="minorEastAsia" w:hAnsiTheme="minorEastAsia"/>
          <w:color w:val="333333"/>
          <w:kern w:val="0"/>
          <w:sz w:val="28"/>
          <w:szCs w:val="28"/>
        </w:rPr>
      </w:pPr>
      <w:r>
        <w:rPr>
          <w:rFonts w:hint="eastAsia" w:cs="宋体" w:asciiTheme="minorEastAsia" w:hAnsiTheme="minorEastAsia"/>
          <w:color w:val="333333"/>
          <w:kern w:val="0"/>
          <w:sz w:val="28"/>
          <w:szCs w:val="28"/>
        </w:rPr>
        <w:t>防治费按照每年的预算给予支付，付费方式为先服务后付费，每年支付一次。</w:t>
      </w:r>
    </w:p>
    <w:p>
      <w:pPr>
        <w:widowControl/>
        <w:spacing w:line="360" w:lineRule="auto"/>
        <w:ind w:firstLine="482"/>
        <w:jc w:val="left"/>
        <w:rPr>
          <w:rFonts w:hint="eastAsia"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t>三、评标方式</w:t>
      </w:r>
    </w:p>
    <w:p>
      <w:pPr>
        <w:widowControl/>
        <w:spacing w:line="360" w:lineRule="auto"/>
        <w:ind w:firstLine="482"/>
        <w:jc w:val="left"/>
        <w:rPr>
          <w:rFonts w:hint="eastAsia" w:cs="宋体" w:asciiTheme="minorEastAsia" w:hAnsiTheme="minorEastAsia"/>
          <w:color w:val="333333"/>
          <w:kern w:val="0"/>
          <w:sz w:val="28"/>
          <w:szCs w:val="28"/>
        </w:rPr>
      </w:pPr>
      <w:r>
        <w:rPr>
          <w:rFonts w:hint="eastAsia" w:cs="宋体" w:asciiTheme="minorEastAsia" w:hAnsiTheme="minorEastAsia"/>
          <w:color w:val="333333"/>
          <w:kern w:val="0"/>
          <w:sz w:val="28"/>
          <w:szCs w:val="28"/>
        </w:rPr>
        <w:t>我校将根据企业规模、资质水平、服务效率、实施案例等方面进行综合评审。</w:t>
      </w:r>
    </w:p>
    <w:p>
      <w:pPr>
        <w:widowControl/>
        <w:spacing w:line="360" w:lineRule="auto"/>
        <w:ind w:firstLine="482"/>
        <w:jc w:val="left"/>
        <w:rPr>
          <w:rFonts w:hint="eastAsia"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t>四、维保期限</w:t>
      </w:r>
    </w:p>
    <w:p>
      <w:pPr>
        <w:widowControl/>
        <w:spacing w:line="360" w:lineRule="auto"/>
        <w:ind w:firstLine="482"/>
        <w:jc w:val="left"/>
        <w:rPr>
          <w:rFonts w:hint="eastAsia" w:cs="宋体" w:asciiTheme="minorEastAsia" w:hAnsiTheme="minorEastAsia"/>
          <w:color w:val="333333"/>
          <w:kern w:val="0"/>
          <w:sz w:val="28"/>
          <w:szCs w:val="28"/>
        </w:rPr>
      </w:pPr>
      <w:r>
        <w:rPr>
          <w:rFonts w:hint="eastAsia" w:cs="宋体" w:asciiTheme="minorEastAsia" w:hAnsiTheme="minorEastAsia"/>
          <w:color w:val="333333"/>
          <w:kern w:val="0"/>
          <w:sz w:val="28"/>
          <w:szCs w:val="28"/>
        </w:rPr>
        <w:t>自合同签订之日起计算3年治理+2年复查维护；</w:t>
      </w:r>
    </w:p>
    <w:p>
      <w:pPr>
        <w:widowControl/>
        <w:spacing w:line="360" w:lineRule="auto"/>
        <w:ind w:firstLine="482"/>
        <w:jc w:val="left"/>
        <w:rPr>
          <w:rFonts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t>五、白蚁防治要求</w:t>
      </w:r>
    </w:p>
    <w:p>
      <w:pPr>
        <w:widowControl/>
        <w:spacing w:line="360" w:lineRule="auto"/>
        <w:ind w:firstLine="480"/>
        <w:jc w:val="left"/>
        <w:rPr>
          <w:rFonts w:hint="eastAsia" w:cs="Calibri" w:asciiTheme="minorEastAsia" w:hAnsiTheme="minorEastAsia"/>
          <w:color w:val="333333"/>
          <w:kern w:val="0"/>
          <w:sz w:val="28"/>
          <w:szCs w:val="28"/>
        </w:rPr>
      </w:pPr>
      <w:r>
        <w:rPr>
          <w:rFonts w:hint="eastAsia" w:cs="Calibri" w:asciiTheme="minorEastAsia" w:hAnsiTheme="minorEastAsia"/>
          <w:color w:val="333333"/>
          <w:kern w:val="0"/>
          <w:sz w:val="28"/>
          <w:szCs w:val="28"/>
        </w:rPr>
        <w:t>1.白蚁防治服务单位应当建立健全白蚁防治质量保证体系，严格按照国家和地方有关城市树木、房屋白蚁防治的施工技术规范和操作程序进行防治。</w:t>
      </w:r>
    </w:p>
    <w:p>
      <w:pPr>
        <w:widowControl/>
        <w:spacing w:line="360" w:lineRule="auto"/>
        <w:ind w:firstLine="480"/>
        <w:jc w:val="left"/>
        <w:rPr>
          <w:rFonts w:hint="eastAsia" w:cs="Calibri" w:asciiTheme="minorEastAsia" w:hAnsiTheme="minorEastAsia"/>
          <w:color w:val="333333"/>
          <w:kern w:val="0"/>
          <w:sz w:val="28"/>
          <w:szCs w:val="28"/>
        </w:rPr>
      </w:pPr>
      <w:r>
        <w:rPr>
          <w:rFonts w:hint="eastAsia" w:cs="Calibri" w:asciiTheme="minorEastAsia" w:hAnsiTheme="minorEastAsia"/>
          <w:color w:val="333333"/>
          <w:kern w:val="0"/>
          <w:sz w:val="28"/>
          <w:szCs w:val="28"/>
        </w:rPr>
        <w:t>2.白蚁防治服务单位“应当贯彻预防为主、防治结合、综合治理的方针”，消灭和控制白蚁危害或蔓延。</w:t>
      </w:r>
    </w:p>
    <w:p>
      <w:pPr>
        <w:widowControl/>
        <w:spacing w:line="360" w:lineRule="auto"/>
        <w:ind w:firstLine="480"/>
        <w:jc w:val="left"/>
        <w:rPr>
          <w:rFonts w:hint="eastAsia" w:cs="Calibri" w:asciiTheme="minorEastAsia" w:hAnsiTheme="minorEastAsia"/>
          <w:color w:val="333333"/>
          <w:kern w:val="0"/>
          <w:sz w:val="28"/>
          <w:szCs w:val="28"/>
        </w:rPr>
      </w:pPr>
      <w:r>
        <w:rPr>
          <w:rFonts w:hint="eastAsia" w:cs="Calibri" w:asciiTheme="minorEastAsia" w:hAnsiTheme="minorEastAsia"/>
          <w:color w:val="333333"/>
          <w:kern w:val="0"/>
          <w:sz w:val="28"/>
          <w:szCs w:val="28"/>
        </w:rPr>
        <w:t>3.白蚁防治服务单位应保护校区内自然环境的整体美观性，积极采用“诱导灭杀”、“传递灭杀”、“破巢灭杀”相接合的方式，并需对破坏的景观及时进行还原。</w:t>
      </w:r>
    </w:p>
    <w:p>
      <w:pPr>
        <w:widowControl/>
        <w:spacing w:line="360" w:lineRule="auto"/>
        <w:ind w:firstLine="480"/>
        <w:jc w:val="left"/>
        <w:rPr>
          <w:rFonts w:hint="eastAsia" w:cs="Calibri" w:asciiTheme="minorEastAsia" w:hAnsiTheme="minorEastAsia"/>
          <w:color w:val="333333"/>
          <w:kern w:val="0"/>
          <w:sz w:val="28"/>
          <w:szCs w:val="28"/>
        </w:rPr>
      </w:pPr>
      <w:r>
        <w:rPr>
          <w:rFonts w:hint="eastAsia" w:cs="Calibri" w:asciiTheme="minorEastAsia" w:hAnsiTheme="minorEastAsia"/>
          <w:color w:val="333333"/>
          <w:kern w:val="0"/>
          <w:sz w:val="28"/>
          <w:szCs w:val="28"/>
        </w:rPr>
        <w:t>4.白蚁防治服务单位应在校区绿化带、蚁路及其他白蚁经常活动的地方施具有效防治药物。</w:t>
      </w:r>
    </w:p>
    <w:p>
      <w:pPr>
        <w:widowControl/>
        <w:spacing w:line="360" w:lineRule="auto"/>
        <w:ind w:firstLine="480"/>
        <w:jc w:val="left"/>
        <w:rPr>
          <w:rFonts w:hint="eastAsia" w:cs="Calibri" w:asciiTheme="minorEastAsia" w:hAnsiTheme="minorEastAsia"/>
          <w:color w:val="333333"/>
          <w:kern w:val="0"/>
          <w:sz w:val="28"/>
          <w:szCs w:val="28"/>
        </w:rPr>
      </w:pPr>
      <w:r>
        <w:rPr>
          <w:rFonts w:hint="eastAsia" w:cs="Calibri" w:asciiTheme="minorEastAsia" w:hAnsiTheme="minorEastAsia"/>
          <w:color w:val="333333"/>
          <w:kern w:val="0"/>
          <w:sz w:val="28"/>
          <w:szCs w:val="28"/>
        </w:rPr>
        <w:t>5.白蚁防治服务单位应在校区学生宿舍、学生食堂、教职工宿舍及其他建筑物易滋生白蚁的位置（如木门框、木地板及其他木家具等）设置诱杀点及使用防御药物。</w:t>
      </w:r>
    </w:p>
    <w:p>
      <w:pPr>
        <w:widowControl/>
        <w:spacing w:line="360" w:lineRule="auto"/>
        <w:ind w:firstLine="480"/>
        <w:jc w:val="left"/>
        <w:rPr>
          <w:rFonts w:cs="宋体" w:asciiTheme="minorEastAsia" w:hAnsiTheme="minorEastAsia"/>
          <w:color w:val="333333"/>
          <w:kern w:val="0"/>
          <w:sz w:val="28"/>
          <w:szCs w:val="28"/>
        </w:rPr>
      </w:pPr>
      <w:r>
        <w:rPr>
          <w:rFonts w:hint="eastAsia" w:cs="Calibri" w:asciiTheme="minorEastAsia" w:hAnsiTheme="minorEastAsia"/>
          <w:color w:val="333333"/>
          <w:kern w:val="0"/>
          <w:sz w:val="28"/>
          <w:szCs w:val="28"/>
        </w:rPr>
        <w:t>6.白蚁防治服务单位</w:t>
      </w:r>
      <w:r>
        <w:rPr>
          <w:rFonts w:hint="eastAsia" w:cs="宋体" w:asciiTheme="minorEastAsia" w:hAnsiTheme="minorEastAsia"/>
          <w:color w:val="333333"/>
          <w:kern w:val="0"/>
          <w:sz w:val="28"/>
          <w:szCs w:val="28"/>
        </w:rPr>
        <w:t>所用白蚁防治药物需具有国家质检部门合格证书，</w:t>
      </w:r>
      <w:r>
        <w:rPr>
          <w:rFonts w:cs="Calibri" w:asciiTheme="minorEastAsia" w:hAnsiTheme="minorEastAsia"/>
          <w:color w:val="333333"/>
          <w:kern w:val="0"/>
          <w:sz w:val="28"/>
          <w:szCs w:val="28"/>
        </w:rPr>
        <w:t xml:space="preserve"> </w:t>
      </w:r>
      <w:r>
        <w:rPr>
          <w:rFonts w:hint="eastAsia" w:cs="宋体" w:asciiTheme="minorEastAsia" w:hAnsiTheme="minorEastAsia"/>
          <w:color w:val="333333"/>
          <w:kern w:val="0"/>
          <w:sz w:val="28"/>
          <w:szCs w:val="28"/>
        </w:rPr>
        <w:t>所用药物保证安全无毒副作用，不得对人体造成伤害。</w:t>
      </w:r>
    </w:p>
    <w:p>
      <w:pPr>
        <w:widowControl/>
        <w:spacing w:line="360" w:lineRule="auto"/>
        <w:ind w:firstLine="480"/>
        <w:jc w:val="left"/>
        <w:rPr>
          <w:rFonts w:cs="宋体" w:asciiTheme="minorEastAsia" w:hAnsiTheme="minorEastAsia"/>
          <w:color w:val="333333"/>
          <w:kern w:val="0"/>
          <w:sz w:val="28"/>
          <w:szCs w:val="28"/>
        </w:rPr>
      </w:pPr>
      <w:r>
        <w:rPr>
          <w:rFonts w:hint="eastAsia" w:cs="Calibri" w:asciiTheme="minorEastAsia" w:hAnsiTheme="minorEastAsia"/>
          <w:color w:val="333333"/>
          <w:kern w:val="0"/>
          <w:sz w:val="28"/>
          <w:szCs w:val="28"/>
        </w:rPr>
        <w:t>7.</w:t>
      </w:r>
      <w:r>
        <w:rPr>
          <w:rFonts w:hint="eastAsia" w:cs="宋体" w:asciiTheme="minorEastAsia" w:hAnsiTheme="minorEastAsia"/>
          <w:color w:val="333333"/>
          <w:kern w:val="0"/>
          <w:sz w:val="28"/>
          <w:szCs w:val="28"/>
        </w:rPr>
        <w:t>在白蚁防治过程中，不得对建筑物内外结构造成损坏，应保证其完整性，如因施工不当造成财物损失的，应照价赔偿。</w:t>
      </w:r>
    </w:p>
    <w:p>
      <w:pPr>
        <w:widowControl/>
        <w:spacing w:line="360" w:lineRule="auto"/>
        <w:ind w:firstLine="480"/>
        <w:jc w:val="left"/>
        <w:rPr>
          <w:rFonts w:hint="eastAsia" w:cs="宋体" w:asciiTheme="minorEastAsia" w:hAnsiTheme="minorEastAsia"/>
          <w:color w:val="333333"/>
          <w:kern w:val="0"/>
          <w:sz w:val="28"/>
          <w:szCs w:val="28"/>
        </w:rPr>
      </w:pPr>
      <w:r>
        <w:rPr>
          <w:rFonts w:hint="eastAsia" w:cs="Calibri" w:asciiTheme="minorEastAsia" w:hAnsiTheme="minorEastAsia"/>
          <w:color w:val="333333"/>
          <w:kern w:val="0"/>
          <w:sz w:val="28"/>
          <w:szCs w:val="28"/>
        </w:rPr>
        <w:t>8.</w:t>
      </w:r>
      <w:r>
        <w:rPr>
          <w:rFonts w:hint="eastAsia" w:cs="宋体" w:asciiTheme="minorEastAsia" w:hAnsiTheme="minorEastAsia"/>
          <w:color w:val="333333"/>
          <w:kern w:val="0"/>
          <w:sz w:val="28"/>
          <w:szCs w:val="28"/>
        </w:rPr>
        <w:t>对地上、地下建筑物、绿化林地进行白蚁防治后，需保证防治区域不能再出现蚁害。</w:t>
      </w:r>
    </w:p>
    <w:p>
      <w:pPr>
        <w:widowControl/>
        <w:spacing w:line="360" w:lineRule="auto"/>
        <w:ind w:firstLine="480"/>
        <w:jc w:val="left"/>
        <w:rPr>
          <w:rFonts w:cs="宋体" w:asciiTheme="minorEastAsia" w:hAnsiTheme="minorEastAsia"/>
          <w:color w:val="333333"/>
          <w:kern w:val="0"/>
          <w:sz w:val="28"/>
          <w:szCs w:val="28"/>
        </w:rPr>
      </w:pPr>
      <w:r>
        <w:rPr>
          <w:rFonts w:hint="eastAsia" w:cs="Calibri" w:asciiTheme="minorEastAsia" w:hAnsiTheme="minorEastAsia"/>
          <w:color w:val="333333"/>
          <w:kern w:val="0"/>
          <w:sz w:val="28"/>
          <w:szCs w:val="28"/>
        </w:rPr>
        <w:t>9.</w:t>
      </w:r>
      <w:r>
        <w:rPr>
          <w:rFonts w:hint="eastAsia" w:cs="宋体" w:asciiTheme="minorEastAsia" w:hAnsiTheme="minorEastAsia"/>
          <w:color w:val="333333"/>
          <w:kern w:val="0"/>
          <w:sz w:val="28"/>
          <w:szCs w:val="28"/>
        </w:rPr>
        <w:t>针对学校</w:t>
      </w:r>
      <w:r>
        <w:rPr>
          <w:rFonts w:hint="eastAsia" w:cs="宋体" w:asciiTheme="minorEastAsia" w:hAnsiTheme="minorEastAsia"/>
          <w:color w:val="333333"/>
          <w:kern w:val="0"/>
          <w:sz w:val="28"/>
          <w:szCs w:val="28"/>
          <w:lang w:val="en-US" w:eastAsia="zh-CN"/>
        </w:rPr>
        <w:t>80</w:t>
      </w:r>
      <w:r>
        <w:rPr>
          <w:rFonts w:hint="eastAsia" w:cs="宋体" w:asciiTheme="minorEastAsia" w:hAnsiTheme="minorEastAsia"/>
          <w:color w:val="333333"/>
          <w:kern w:val="0"/>
          <w:sz w:val="28"/>
          <w:szCs w:val="28"/>
        </w:rPr>
        <w:t>颗名木古树进行重点防治，发现蚁害每次扣除防治费用1000元作为违约金，因蚁害导致死亡按违约处理。</w:t>
      </w:r>
    </w:p>
    <w:p>
      <w:pPr>
        <w:widowControl/>
        <w:spacing w:line="360" w:lineRule="auto"/>
        <w:ind w:firstLine="480"/>
        <w:jc w:val="left"/>
        <w:rPr>
          <w:rFonts w:hint="eastAsia" w:cs="宋体" w:asciiTheme="minorEastAsia" w:hAnsiTheme="minorEastAsia"/>
          <w:color w:val="333333"/>
          <w:kern w:val="0"/>
          <w:sz w:val="28"/>
          <w:szCs w:val="28"/>
        </w:rPr>
      </w:pPr>
      <w:r>
        <w:rPr>
          <w:rFonts w:hint="eastAsia" w:cs="宋体" w:asciiTheme="minorEastAsia" w:hAnsiTheme="minorEastAsia"/>
          <w:color w:val="333333"/>
          <w:kern w:val="0"/>
          <w:sz w:val="28"/>
          <w:szCs w:val="28"/>
        </w:rPr>
        <w:t>10.白蚁防治单位应定期或不定期来校检查或防治。白蚁多发期每月不少于</w:t>
      </w:r>
      <w:r>
        <w:rPr>
          <w:rFonts w:hint="eastAsia" w:cs="宋体" w:asciiTheme="minorEastAsia" w:hAnsiTheme="minorEastAsia"/>
          <w:color w:val="333333"/>
          <w:kern w:val="0"/>
          <w:sz w:val="28"/>
          <w:szCs w:val="28"/>
          <w:lang w:val="en-US" w:eastAsia="zh-CN"/>
        </w:rPr>
        <w:t>3-</w:t>
      </w:r>
      <w:r>
        <w:rPr>
          <w:rFonts w:hint="eastAsia" w:cs="宋体" w:asciiTheme="minorEastAsia" w:hAnsiTheme="minorEastAsia"/>
          <w:color w:val="333333"/>
          <w:kern w:val="0"/>
          <w:sz w:val="28"/>
          <w:szCs w:val="28"/>
        </w:rPr>
        <w:t>4次，其他每月2次</w:t>
      </w:r>
    </w:p>
    <w:p>
      <w:pPr>
        <w:widowControl/>
        <w:spacing w:line="360" w:lineRule="auto"/>
        <w:ind w:firstLine="480"/>
        <w:jc w:val="left"/>
        <w:rPr>
          <w:rFonts w:cs="宋体" w:asciiTheme="minorEastAsia" w:hAnsiTheme="minorEastAsia"/>
          <w:color w:val="333333"/>
          <w:kern w:val="0"/>
          <w:sz w:val="28"/>
          <w:szCs w:val="28"/>
        </w:rPr>
      </w:pPr>
      <w:r>
        <w:rPr>
          <w:rFonts w:hint="eastAsia" w:cs="Calibri" w:asciiTheme="minorEastAsia" w:hAnsiTheme="minorEastAsia"/>
          <w:color w:val="333333"/>
          <w:kern w:val="0"/>
          <w:sz w:val="28"/>
          <w:szCs w:val="28"/>
        </w:rPr>
        <w:t>11.</w:t>
      </w:r>
      <w:r>
        <w:rPr>
          <w:rFonts w:hint="eastAsia" w:cs="宋体" w:asciiTheme="minorEastAsia" w:hAnsiTheme="minorEastAsia"/>
          <w:color w:val="333333"/>
          <w:kern w:val="0"/>
          <w:sz w:val="28"/>
          <w:szCs w:val="28"/>
        </w:rPr>
        <w:t>发现蚁害，随叫随到，保证</w:t>
      </w:r>
      <w:r>
        <w:rPr>
          <w:rFonts w:cs="Calibri" w:asciiTheme="minorEastAsia" w:hAnsiTheme="minorEastAsia"/>
          <w:color w:val="333333"/>
          <w:kern w:val="0"/>
          <w:sz w:val="28"/>
          <w:szCs w:val="28"/>
        </w:rPr>
        <w:t>4</w:t>
      </w:r>
      <w:r>
        <w:rPr>
          <w:rFonts w:hint="eastAsia" w:cs="宋体" w:asciiTheme="minorEastAsia" w:hAnsiTheme="minorEastAsia"/>
          <w:color w:val="333333"/>
          <w:kern w:val="0"/>
          <w:sz w:val="28"/>
          <w:szCs w:val="28"/>
        </w:rPr>
        <w:t>小时内到达现场，</w:t>
      </w:r>
      <w:r>
        <w:rPr>
          <w:rFonts w:cs="Calibri" w:asciiTheme="minorEastAsia" w:hAnsiTheme="minorEastAsia"/>
          <w:color w:val="333333"/>
          <w:kern w:val="0"/>
          <w:sz w:val="28"/>
          <w:szCs w:val="28"/>
        </w:rPr>
        <w:t>24</w:t>
      </w:r>
      <w:r>
        <w:rPr>
          <w:rFonts w:hint="eastAsia" w:cs="宋体" w:asciiTheme="minorEastAsia" w:hAnsiTheme="minorEastAsia"/>
          <w:color w:val="333333"/>
          <w:kern w:val="0"/>
          <w:sz w:val="28"/>
          <w:szCs w:val="28"/>
        </w:rPr>
        <w:t>小时内处理完成，如不能达到要求，每次扣除防治费用1000元作为违约金。</w:t>
      </w:r>
    </w:p>
    <w:p>
      <w:pPr>
        <w:widowControl/>
        <w:spacing w:line="360" w:lineRule="auto"/>
        <w:ind w:firstLine="480"/>
        <w:jc w:val="left"/>
        <w:rPr>
          <w:rFonts w:cs="宋体" w:asciiTheme="minorEastAsia" w:hAnsiTheme="minorEastAsia"/>
          <w:color w:val="333333"/>
          <w:kern w:val="0"/>
          <w:sz w:val="28"/>
          <w:szCs w:val="28"/>
        </w:rPr>
      </w:pPr>
      <w:r>
        <w:rPr>
          <w:rFonts w:hint="eastAsia" w:cs="Calibri" w:asciiTheme="minorEastAsia" w:hAnsiTheme="minorEastAsia"/>
          <w:color w:val="333333"/>
          <w:kern w:val="0"/>
          <w:sz w:val="28"/>
          <w:szCs w:val="28"/>
        </w:rPr>
        <w:t>12.</w:t>
      </w:r>
      <w:r>
        <w:rPr>
          <w:rFonts w:hint="eastAsia" w:cs="宋体" w:asciiTheme="minorEastAsia" w:hAnsiTheme="minorEastAsia"/>
          <w:color w:val="333333"/>
          <w:kern w:val="0"/>
          <w:sz w:val="28"/>
          <w:szCs w:val="28"/>
        </w:rPr>
        <w:t>蚁害高发期，需派至少</w:t>
      </w:r>
      <w:r>
        <w:rPr>
          <w:rFonts w:cs="Calibri" w:asciiTheme="minorEastAsia" w:hAnsiTheme="minorEastAsia"/>
          <w:color w:val="333333"/>
          <w:kern w:val="0"/>
          <w:sz w:val="28"/>
          <w:szCs w:val="28"/>
        </w:rPr>
        <w:t>2</w:t>
      </w:r>
      <w:r>
        <w:rPr>
          <w:rFonts w:hint="eastAsia" w:cs="宋体" w:asciiTheme="minorEastAsia" w:hAnsiTheme="minorEastAsia"/>
          <w:color w:val="333333"/>
          <w:kern w:val="0"/>
          <w:sz w:val="28"/>
          <w:szCs w:val="28"/>
        </w:rPr>
        <w:t>名以上专业人员常驻后勤值班。</w:t>
      </w:r>
    </w:p>
    <w:p>
      <w:pPr>
        <w:widowControl/>
        <w:spacing w:line="360" w:lineRule="auto"/>
        <w:ind w:firstLine="480"/>
        <w:jc w:val="left"/>
        <w:rPr>
          <w:rFonts w:cs="宋体" w:asciiTheme="minorEastAsia" w:hAnsiTheme="minorEastAsia"/>
          <w:color w:val="333333"/>
          <w:kern w:val="0"/>
          <w:sz w:val="28"/>
          <w:szCs w:val="28"/>
        </w:rPr>
      </w:pPr>
      <w:r>
        <w:rPr>
          <w:rFonts w:hint="eastAsia" w:cs="Calibri" w:asciiTheme="minorEastAsia" w:hAnsiTheme="minorEastAsia"/>
          <w:color w:val="333333"/>
          <w:kern w:val="0"/>
          <w:sz w:val="28"/>
          <w:szCs w:val="28"/>
        </w:rPr>
        <w:t>13.</w:t>
      </w:r>
      <w:r>
        <w:rPr>
          <w:rFonts w:hint="eastAsia" w:cs="宋体" w:asciiTheme="minorEastAsia" w:hAnsiTheme="minorEastAsia"/>
          <w:color w:val="333333"/>
          <w:kern w:val="0"/>
          <w:sz w:val="28"/>
          <w:szCs w:val="28"/>
        </w:rPr>
        <w:t>施工人员必须持证、着工装上岗，遵守我校各项规章制度，严格按操作规程工作。</w:t>
      </w:r>
    </w:p>
    <w:p>
      <w:pPr>
        <w:widowControl/>
        <w:spacing w:line="360" w:lineRule="auto"/>
        <w:ind w:firstLine="480"/>
        <w:jc w:val="left"/>
        <w:rPr>
          <w:rFonts w:hint="eastAsia" w:cs="宋体" w:asciiTheme="minorEastAsia" w:hAnsiTheme="minorEastAsia"/>
          <w:color w:val="333333"/>
          <w:kern w:val="0"/>
          <w:sz w:val="28"/>
          <w:szCs w:val="28"/>
        </w:rPr>
      </w:pPr>
      <w:r>
        <w:rPr>
          <w:rFonts w:hint="eastAsia" w:cs="宋体" w:asciiTheme="minorEastAsia" w:hAnsiTheme="minorEastAsia"/>
          <w:color w:val="333333"/>
          <w:kern w:val="0"/>
          <w:sz w:val="28"/>
          <w:szCs w:val="28"/>
        </w:rPr>
        <w:t>14.服务期间在白蚁防治处理点，应有甲方用户签字认可的现场记录（也可采用实地摄像、照片）作为验收结算的依据。</w:t>
      </w:r>
    </w:p>
    <w:p>
      <w:pPr>
        <w:widowControl/>
        <w:spacing w:line="360" w:lineRule="auto"/>
        <w:ind w:firstLine="480"/>
        <w:jc w:val="left"/>
        <w:rPr>
          <w:rFonts w:hint="eastAsia" w:cs="宋体" w:asciiTheme="minorEastAsia" w:hAnsiTheme="minorEastAsia"/>
          <w:color w:val="333333"/>
          <w:kern w:val="0"/>
          <w:sz w:val="28"/>
          <w:szCs w:val="28"/>
        </w:rPr>
      </w:pPr>
      <w:r>
        <w:rPr>
          <w:rFonts w:hint="eastAsia" w:cs="宋体" w:asciiTheme="minorEastAsia" w:hAnsiTheme="minorEastAsia"/>
          <w:color w:val="333333"/>
          <w:kern w:val="0"/>
          <w:sz w:val="28"/>
          <w:szCs w:val="28"/>
        </w:rPr>
        <w:t>15.防治后每月白蚁发生率不超过3%。（室内按发生白蚁的房间面积计算，树木按株计算，园林绿化按发生蚁害的片区面积计算）</w:t>
      </w:r>
    </w:p>
    <w:p>
      <w:pPr>
        <w:widowControl/>
        <w:spacing w:line="360" w:lineRule="auto"/>
        <w:ind w:firstLine="480"/>
        <w:jc w:val="left"/>
        <w:rPr>
          <w:rFonts w:hint="eastAsia" w:cs="宋体" w:asciiTheme="minorEastAsia" w:hAnsiTheme="minorEastAsia"/>
          <w:color w:val="333333"/>
          <w:kern w:val="0"/>
          <w:sz w:val="28"/>
          <w:szCs w:val="28"/>
        </w:rPr>
      </w:pPr>
      <w:r>
        <w:rPr>
          <w:rFonts w:hint="eastAsia" w:cs="宋体" w:asciiTheme="minorEastAsia" w:hAnsiTheme="minorEastAsia"/>
          <w:color w:val="333333"/>
          <w:kern w:val="0"/>
          <w:sz w:val="28"/>
          <w:szCs w:val="28"/>
        </w:rPr>
        <w:t>16.在服务期内房屋建筑和园林树木用药地点白蚁死亡率达到98%，所有防治范围无蚁害。</w:t>
      </w:r>
    </w:p>
    <w:p>
      <w:pPr>
        <w:widowControl/>
        <w:spacing w:line="360" w:lineRule="auto"/>
        <w:ind w:firstLine="480"/>
        <w:jc w:val="left"/>
        <w:rPr>
          <w:rFonts w:hint="eastAsia" w:cs="宋体" w:asciiTheme="minorEastAsia" w:hAnsiTheme="minorEastAsia"/>
          <w:color w:val="333333"/>
          <w:kern w:val="0"/>
          <w:sz w:val="28"/>
          <w:szCs w:val="28"/>
        </w:rPr>
      </w:pPr>
      <w:r>
        <w:rPr>
          <w:rFonts w:hint="eastAsia" w:cs="Calibri" w:asciiTheme="minorEastAsia" w:hAnsiTheme="minorEastAsia"/>
          <w:color w:val="333333"/>
          <w:kern w:val="0"/>
          <w:sz w:val="28"/>
          <w:szCs w:val="28"/>
        </w:rPr>
        <w:t>17.</w:t>
      </w:r>
      <w:r>
        <w:rPr>
          <w:rFonts w:hint="eastAsia" w:cs="宋体" w:asciiTheme="minorEastAsia" w:hAnsiTheme="minorEastAsia"/>
          <w:color w:val="333333"/>
          <w:kern w:val="0"/>
          <w:sz w:val="28"/>
          <w:szCs w:val="28"/>
        </w:rPr>
        <w:t>发现蚁害有效处理率应达到</w:t>
      </w:r>
      <w:r>
        <w:rPr>
          <w:rFonts w:cs="Calibri" w:asciiTheme="minorEastAsia" w:hAnsiTheme="minorEastAsia"/>
          <w:color w:val="333333"/>
          <w:kern w:val="0"/>
          <w:sz w:val="28"/>
          <w:szCs w:val="28"/>
        </w:rPr>
        <w:t>100%</w:t>
      </w:r>
      <w:r>
        <w:rPr>
          <w:rFonts w:hint="eastAsia" w:cs="宋体" w:asciiTheme="minorEastAsia" w:hAnsiTheme="minorEastAsia"/>
          <w:color w:val="333333"/>
          <w:kern w:val="0"/>
          <w:sz w:val="28"/>
          <w:szCs w:val="28"/>
        </w:rPr>
        <w:t>，未有效处理的每次扣除防治总费用的</w:t>
      </w:r>
      <w:r>
        <w:rPr>
          <w:rFonts w:cs="Calibri" w:asciiTheme="minorEastAsia" w:hAnsiTheme="minorEastAsia"/>
          <w:color w:val="333333"/>
          <w:kern w:val="0"/>
          <w:sz w:val="28"/>
          <w:szCs w:val="28"/>
        </w:rPr>
        <w:t>10%</w:t>
      </w:r>
      <w:r>
        <w:rPr>
          <w:rFonts w:hint="eastAsia" w:cs="宋体" w:asciiTheme="minorEastAsia" w:hAnsiTheme="minorEastAsia"/>
          <w:color w:val="333333"/>
          <w:kern w:val="0"/>
          <w:sz w:val="28"/>
          <w:szCs w:val="28"/>
        </w:rPr>
        <w:t>作为违约金。</w:t>
      </w:r>
    </w:p>
    <w:p>
      <w:pPr>
        <w:widowControl/>
        <w:spacing w:line="360" w:lineRule="auto"/>
        <w:ind w:firstLine="480"/>
        <w:jc w:val="left"/>
        <w:rPr>
          <w:rFonts w:hint="eastAsia" w:cs="宋体" w:asciiTheme="minorEastAsia" w:hAnsiTheme="minorEastAsia"/>
          <w:b/>
          <w:color w:val="333333"/>
          <w:kern w:val="0"/>
          <w:sz w:val="28"/>
          <w:szCs w:val="28"/>
        </w:rPr>
      </w:pPr>
      <w:r>
        <w:rPr>
          <w:rFonts w:hint="eastAsia" w:cs="宋体" w:asciiTheme="minorEastAsia" w:hAnsiTheme="minorEastAsia"/>
          <w:b/>
          <w:color w:val="333333"/>
          <w:kern w:val="0"/>
          <w:sz w:val="28"/>
          <w:szCs w:val="28"/>
        </w:rPr>
        <w:t>六、具体施工要求</w:t>
      </w:r>
    </w:p>
    <w:tbl>
      <w:tblPr>
        <w:tblStyle w:val="5"/>
        <w:tblW w:w="83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484"/>
        <w:gridCol w:w="1559"/>
        <w:gridCol w:w="2384"/>
        <w:gridCol w:w="1118"/>
        <w:gridCol w:w="1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693" w:type="dxa"/>
            <w:tcBorders>
              <w:top w:val="single" w:color="auto" w:sz="4" w:space="0"/>
              <w:left w:val="single" w:color="auto" w:sz="4" w:space="0"/>
              <w:bottom w:val="single" w:color="auto" w:sz="4" w:space="0"/>
              <w:right w:val="single" w:color="auto" w:sz="4" w:space="0"/>
            </w:tcBorders>
            <w:vAlign w:val="center"/>
          </w:tcPr>
          <w:p>
            <w:pPr>
              <w:spacing w:line="360" w:lineRule="auto"/>
              <w:ind w:left="-60"/>
              <w:jc w:val="center"/>
              <w:rPr>
                <w:rFonts w:cs="Times New Roman" w:asciiTheme="minorEastAsia" w:hAnsiTheme="minorEastAsia"/>
                <w:bCs/>
                <w:szCs w:val="21"/>
              </w:rPr>
            </w:pPr>
            <w:r>
              <w:rPr>
                <w:rFonts w:hint="eastAsia" w:cs="Times New Roman" w:asciiTheme="minorEastAsia" w:hAnsiTheme="minorEastAsia"/>
                <w:bCs/>
                <w:szCs w:val="21"/>
              </w:rPr>
              <w:t>序号</w:t>
            </w:r>
          </w:p>
        </w:tc>
        <w:tc>
          <w:tcPr>
            <w:tcW w:w="1484" w:type="dxa"/>
            <w:tcBorders>
              <w:top w:val="single" w:color="auto" w:sz="4" w:space="0"/>
              <w:left w:val="nil"/>
              <w:bottom w:val="single" w:color="auto" w:sz="4" w:space="0"/>
              <w:right w:val="single" w:color="auto" w:sz="4" w:space="0"/>
            </w:tcBorders>
            <w:vAlign w:val="center"/>
          </w:tcPr>
          <w:p>
            <w:pPr>
              <w:spacing w:line="360" w:lineRule="auto"/>
              <w:ind w:firstLine="210" w:firstLineChars="100"/>
              <w:jc w:val="center"/>
              <w:rPr>
                <w:rFonts w:cs="Times New Roman" w:asciiTheme="minorEastAsia" w:hAnsiTheme="minorEastAsia"/>
                <w:bCs/>
                <w:szCs w:val="21"/>
              </w:rPr>
            </w:pPr>
            <w:r>
              <w:rPr>
                <w:rFonts w:hint="eastAsia" w:cs="Times New Roman" w:asciiTheme="minorEastAsia" w:hAnsiTheme="minorEastAsia"/>
                <w:bCs/>
                <w:szCs w:val="21"/>
              </w:rPr>
              <w:t>进度目标</w:t>
            </w:r>
          </w:p>
        </w:tc>
        <w:tc>
          <w:tcPr>
            <w:tcW w:w="1559"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计划名称</w:t>
            </w:r>
          </w:p>
        </w:tc>
        <w:tc>
          <w:tcPr>
            <w:tcW w:w="2384"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灭治方法</w:t>
            </w:r>
          </w:p>
        </w:tc>
        <w:tc>
          <w:tcPr>
            <w:tcW w:w="1118"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施工时间</w:t>
            </w:r>
          </w:p>
        </w:tc>
        <w:tc>
          <w:tcPr>
            <w:tcW w:w="1116"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治理预算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693" w:type="dxa"/>
            <w:tcBorders>
              <w:top w:val="single" w:color="auto" w:sz="4" w:space="0"/>
              <w:left w:val="single" w:color="auto" w:sz="4" w:space="0"/>
              <w:bottom w:val="single" w:color="auto" w:sz="4" w:space="0"/>
              <w:right w:val="single" w:color="auto" w:sz="4" w:space="0"/>
            </w:tcBorders>
            <w:vAlign w:val="center"/>
          </w:tcPr>
          <w:p>
            <w:pPr>
              <w:spacing w:line="360" w:lineRule="auto"/>
              <w:ind w:firstLine="210" w:firstLineChars="100"/>
              <w:rPr>
                <w:rFonts w:cs="Times New Roman" w:asciiTheme="minorEastAsia" w:hAnsiTheme="minorEastAsia"/>
                <w:bCs/>
                <w:szCs w:val="21"/>
              </w:rPr>
            </w:pPr>
            <w:r>
              <w:rPr>
                <w:rFonts w:hint="eastAsia" w:cs="Times New Roman" w:asciiTheme="minorEastAsia" w:hAnsiTheme="minorEastAsia"/>
                <w:bCs/>
                <w:szCs w:val="21"/>
              </w:rPr>
              <w:t>1</w:t>
            </w:r>
          </w:p>
        </w:tc>
        <w:tc>
          <w:tcPr>
            <w:tcW w:w="1484"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全面区域</w:t>
            </w:r>
          </w:p>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治理期</w:t>
            </w:r>
          </w:p>
        </w:tc>
        <w:tc>
          <w:tcPr>
            <w:tcW w:w="1559"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综合治理计划</w:t>
            </w:r>
          </w:p>
        </w:tc>
        <w:tc>
          <w:tcPr>
            <w:tcW w:w="2384" w:type="dxa"/>
            <w:tcBorders>
              <w:top w:val="single" w:color="auto" w:sz="4" w:space="0"/>
              <w:left w:val="nil"/>
              <w:bottom w:val="single" w:color="auto" w:sz="4" w:space="0"/>
              <w:right w:val="single" w:color="auto" w:sz="4" w:space="0"/>
            </w:tcBorders>
            <w:vAlign w:val="center"/>
          </w:tcPr>
          <w:p>
            <w:pPr>
              <w:spacing w:line="360" w:lineRule="auto"/>
              <w:ind w:left="-60"/>
              <w:jc w:val="center"/>
              <w:rPr>
                <w:rFonts w:cs="Times New Roman" w:asciiTheme="minorEastAsia" w:hAnsiTheme="minorEastAsia"/>
                <w:bCs/>
                <w:szCs w:val="21"/>
              </w:rPr>
            </w:pPr>
            <w:r>
              <w:rPr>
                <w:rFonts w:hint="eastAsia" w:cs="Times New Roman" w:asciiTheme="minorEastAsia" w:hAnsiTheme="minorEastAsia"/>
                <w:bCs/>
                <w:szCs w:val="21"/>
              </w:rPr>
              <w:t>装置+全区域药物治理</w:t>
            </w:r>
          </w:p>
        </w:tc>
        <w:tc>
          <w:tcPr>
            <w:tcW w:w="1118"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第一年</w:t>
            </w:r>
          </w:p>
        </w:tc>
        <w:tc>
          <w:tcPr>
            <w:tcW w:w="1116"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12.8万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693" w:type="dxa"/>
            <w:tcBorders>
              <w:top w:val="single" w:color="auto" w:sz="4" w:space="0"/>
              <w:left w:val="single" w:color="auto" w:sz="4" w:space="0"/>
              <w:bottom w:val="single" w:color="auto" w:sz="4" w:space="0"/>
              <w:right w:val="single" w:color="auto" w:sz="4" w:space="0"/>
            </w:tcBorders>
            <w:vAlign w:val="center"/>
          </w:tcPr>
          <w:p>
            <w:pPr>
              <w:spacing w:line="360" w:lineRule="auto"/>
              <w:ind w:firstLine="210" w:firstLineChars="100"/>
              <w:rPr>
                <w:rFonts w:cs="Times New Roman" w:asciiTheme="minorEastAsia" w:hAnsiTheme="minorEastAsia"/>
                <w:bCs/>
                <w:szCs w:val="21"/>
              </w:rPr>
            </w:pPr>
            <w:r>
              <w:rPr>
                <w:rFonts w:hint="eastAsia" w:cs="Times New Roman" w:asciiTheme="minorEastAsia" w:hAnsiTheme="minorEastAsia"/>
                <w:bCs/>
                <w:szCs w:val="21"/>
              </w:rPr>
              <w:t>2</w:t>
            </w:r>
          </w:p>
        </w:tc>
        <w:tc>
          <w:tcPr>
            <w:tcW w:w="1484" w:type="dxa"/>
            <w:tcBorders>
              <w:top w:val="single" w:color="auto" w:sz="4" w:space="0"/>
              <w:left w:val="nil"/>
              <w:bottom w:val="single" w:color="auto" w:sz="4" w:space="0"/>
              <w:right w:val="single" w:color="auto" w:sz="4" w:space="0"/>
            </w:tcBorders>
            <w:vAlign w:val="center"/>
          </w:tcPr>
          <w:p>
            <w:pPr>
              <w:spacing w:line="360" w:lineRule="auto"/>
              <w:ind w:left="-60"/>
              <w:jc w:val="center"/>
              <w:rPr>
                <w:rFonts w:cs="Times New Roman" w:asciiTheme="minorEastAsia" w:hAnsiTheme="minorEastAsia"/>
                <w:bCs/>
                <w:szCs w:val="21"/>
              </w:rPr>
            </w:pPr>
            <w:r>
              <w:rPr>
                <w:rFonts w:hint="eastAsia" w:cs="Times New Roman" w:asciiTheme="minorEastAsia" w:hAnsiTheme="minorEastAsia"/>
                <w:bCs/>
                <w:szCs w:val="21"/>
              </w:rPr>
              <w:t>重点区域</w:t>
            </w:r>
          </w:p>
          <w:p>
            <w:pPr>
              <w:spacing w:line="360" w:lineRule="auto"/>
              <w:ind w:left="-60"/>
              <w:jc w:val="center"/>
              <w:rPr>
                <w:rFonts w:cs="Times New Roman" w:asciiTheme="minorEastAsia" w:hAnsiTheme="minorEastAsia"/>
                <w:bCs/>
                <w:szCs w:val="21"/>
              </w:rPr>
            </w:pPr>
            <w:r>
              <w:rPr>
                <w:rFonts w:hint="eastAsia" w:cs="Times New Roman" w:asciiTheme="minorEastAsia" w:hAnsiTheme="minorEastAsia"/>
                <w:bCs/>
                <w:szCs w:val="21"/>
              </w:rPr>
              <w:t>治理期</w:t>
            </w:r>
          </w:p>
        </w:tc>
        <w:tc>
          <w:tcPr>
            <w:tcW w:w="1559" w:type="dxa"/>
            <w:tcBorders>
              <w:top w:val="single" w:color="auto" w:sz="4" w:space="0"/>
              <w:left w:val="nil"/>
              <w:bottom w:val="single" w:color="auto" w:sz="4" w:space="0"/>
              <w:right w:val="single" w:color="auto" w:sz="4" w:space="0"/>
            </w:tcBorders>
            <w:vAlign w:val="center"/>
          </w:tcPr>
          <w:p>
            <w:pPr>
              <w:spacing w:line="360" w:lineRule="auto"/>
              <w:ind w:left="-60"/>
              <w:jc w:val="center"/>
              <w:rPr>
                <w:rFonts w:cs="Times New Roman" w:asciiTheme="minorEastAsia" w:hAnsiTheme="minorEastAsia"/>
                <w:bCs/>
                <w:szCs w:val="21"/>
              </w:rPr>
            </w:pPr>
            <w:r>
              <w:rPr>
                <w:rFonts w:hint="eastAsia" w:cs="Times New Roman" w:asciiTheme="minorEastAsia" w:hAnsiTheme="minorEastAsia"/>
                <w:bCs/>
                <w:szCs w:val="21"/>
              </w:rPr>
              <w:t>重点治理计划</w:t>
            </w:r>
          </w:p>
        </w:tc>
        <w:tc>
          <w:tcPr>
            <w:tcW w:w="2384" w:type="dxa"/>
            <w:tcBorders>
              <w:top w:val="single" w:color="auto" w:sz="4" w:space="0"/>
              <w:left w:val="nil"/>
              <w:bottom w:val="single" w:color="auto" w:sz="4" w:space="0"/>
              <w:right w:val="single" w:color="auto" w:sz="4" w:space="0"/>
            </w:tcBorders>
            <w:vAlign w:val="center"/>
          </w:tcPr>
          <w:p>
            <w:pPr>
              <w:spacing w:line="360" w:lineRule="auto"/>
              <w:ind w:left="-60"/>
              <w:jc w:val="center"/>
              <w:rPr>
                <w:rFonts w:cs="Times New Roman" w:asciiTheme="minorEastAsia" w:hAnsiTheme="minorEastAsia"/>
                <w:bCs/>
                <w:szCs w:val="21"/>
              </w:rPr>
            </w:pPr>
            <w:r>
              <w:rPr>
                <w:rFonts w:hint="eastAsia" w:cs="Times New Roman" w:asciiTheme="minorEastAsia" w:hAnsiTheme="minorEastAsia"/>
                <w:bCs/>
                <w:szCs w:val="21"/>
              </w:rPr>
              <w:t>装置+重点区域药物治理</w:t>
            </w:r>
          </w:p>
        </w:tc>
        <w:tc>
          <w:tcPr>
            <w:tcW w:w="1118"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第二年</w:t>
            </w:r>
          </w:p>
        </w:tc>
        <w:tc>
          <w:tcPr>
            <w:tcW w:w="1116"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6.8万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693" w:type="dxa"/>
            <w:tcBorders>
              <w:top w:val="single" w:color="auto" w:sz="4" w:space="0"/>
              <w:left w:val="single" w:color="auto" w:sz="4" w:space="0"/>
              <w:bottom w:val="single" w:color="auto" w:sz="4" w:space="0"/>
              <w:right w:val="single" w:color="auto" w:sz="4" w:space="0"/>
            </w:tcBorders>
            <w:vAlign w:val="center"/>
          </w:tcPr>
          <w:p>
            <w:pPr>
              <w:spacing w:line="360" w:lineRule="auto"/>
              <w:ind w:firstLine="210" w:firstLineChars="100"/>
              <w:rPr>
                <w:rFonts w:cs="Times New Roman" w:asciiTheme="minorEastAsia" w:hAnsiTheme="minorEastAsia"/>
                <w:bCs/>
                <w:szCs w:val="21"/>
              </w:rPr>
            </w:pPr>
            <w:r>
              <w:rPr>
                <w:rFonts w:hint="eastAsia" w:cs="Times New Roman" w:asciiTheme="minorEastAsia" w:hAnsiTheme="minorEastAsia"/>
                <w:bCs/>
                <w:szCs w:val="21"/>
              </w:rPr>
              <w:t>3</w:t>
            </w:r>
          </w:p>
        </w:tc>
        <w:tc>
          <w:tcPr>
            <w:tcW w:w="1484" w:type="dxa"/>
            <w:tcBorders>
              <w:top w:val="single" w:color="auto" w:sz="4" w:space="0"/>
              <w:left w:val="nil"/>
              <w:bottom w:val="single" w:color="auto" w:sz="4" w:space="0"/>
              <w:right w:val="single" w:color="auto" w:sz="4" w:space="0"/>
            </w:tcBorders>
            <w:vAlign w:val="center"/>
          </w:tcPr>
          <w:p>
            <w:pPr>
              <w:spacing w:line="360" w:lineRule="auto"/>
              <w:ind w:left="-60"/>
              <w:jc w:val="center"/>
              <w:rPr>
                <w:rFonts w:cs="Times New Roman" w:asciiTheme="minorEastAsia" w:hAnsiTheme="minorEastAsia"/>
                <w:bCs/>
                <w:szCs w:val="21"/>
              </w:rPr>
            </w:pPr>
            <w:r>
              <w:rPr>
                <w:rFonts w:hint="eastAsia" w:cs="Times New Roman" w:asciiTheme="minorEastAsia" w:hAnsiTheme="minorEastAsia"/>
                <w:bCs/>
                <w:szCs w:val="21"/>
              </w:rPr>
              <w:t>控制性治理期</w:t>
            </w:r>
          </w:p>
        </w:tc>
        <w:tc>
          <w:tcPr>
            <w:tcW w:w="1559"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后期治理计划</w:t>
            </w:r>
          </w:p>
        </w:tc>
        <w:tc>
          <w:tcPr>
            <w:tcW w:w="2384" w:type="dxa"/>
            <w:tcBorders>
              <w:top w:val="single" w:color="auto" w:sz="4" w:space="0"/>
              <w:left w:val="nil"/>
              <w:bottom w:val="single" w:color="auto" w:sz="4" w:space="0"/>
              <w:right w:val="single" w:color="auto" w:sz="4" w:space="0"/>
            </w:tcBorders>
            <w:vAlign w:val="center"/>
          </w:tcPr>
          <w:p>
            <w:pPr>
              <w:spacing w:line="360" w:lineRule="auto"/>
              <w:ind w:left="-60"/>
              <w:jc w:val="center"/>
              <w:rPr>
                <w:rFonts w:cs="Times New Roman" w:asciiTheme="minorEastAsia" w:hAnsiTheme="minorEastAsia"/>
                <w:bCs/>
                <w:szCs w:val="21"/>
              </w:rPr>
            </w:pPr>
            <w:r>
              <w:rPr>
                <w:rFonts w:hint="eastAsia" w:cs="Times New Roman" w:asciiTheme="minorEastAsia" w:hAnsiTheme="minorEastAsia"/>
                <w:bCs/>
                <w:szCs w:val="21"/>
              </w:rPr>
              <w:t>装置+定点药物治理</w:t>
            </w:r>
          </w:p>
        </w:tc>
        <w:tc>
          <w:tcPr>
            <w:tcW w:w="1118"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第三年</w:t>
            </w:r>
          </w:p>
        </w:tc>
        <w:tc>
          <w:tcPr>
            <w:tcW w:w="1116"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4.8万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693" w:type="dxa"/>
            <w:tcBorders>
              <w:top w:val="single" w:color="auto" w:sz="4" w:space="0"/>
              <w:left w:val="single" w:color="auto" w:sz="4" w:space="0"/>
              <w:bottom w:val="single" w:color="auto" w:sz="4" w:space="0"/>
              <w:right w:val="single" w:color="auto" w:sz="4" w:space="0"/>
            </w:tcBorders>
            <w:vAlign w:val="center"/>
          </w:tcPr>
          <w:p>
            <w:pPr>
              <w:spacing w:line="360" w:lineRule="auto"/>
              <w:ind w:firstLine="210" w:firstLineChars="100"/>
              <w:rPr>
                <w:rFonts w:cs="Times New Roman" w:asciiTheme="minorEastAsia" w:hAnsiTheme="minorEastAsia"/>
                <w:bCs/>
                <w:szCs w:val="21"/>
              </w:rPr>
            </w:pPr>
            <w:r>
              <w:rPr>
                <w:rFonts w:hint="eastAsia" w:cs="Times New Roman" w:asciiTheme="minorEastAsia" w:hAnsiTheme="minorEastAsia"/>
                <w:bCs/>
                <w:szCs w:val="21"/>
              </w:rPr>
              <w:t>4</w:t>
            </w:r>
          </w:p>
        </w:tc>
        <w:tc>
          <w:tcPr>
            <w:tcW w:w="1484"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复查维护期</w:t>
            </w:r>
          </w:p>
        </w:tc>
        <w:tc>
          <w:tcPr>
            <w:tcW w:w="1559" w:type="dxa"/>
            <w:tcBorders>
              <w:top w:val="single" w:color="auto" w:sz="4" w:space="0"/>
              <w:left w:val="nil"/>
              <w:bottom w:val="single" w:color="auto" w:sz="4" w:space="0"/>
              <w:right w:val="single" w:color="auto" w:sz="4" w:space="0"/>
            </w:tcBorders>
            <w:vAlign w:val="center"/>
          </w:tcPr>
          <w:p>
            <w:pPr>
              <w:spacing w:line="360" w:lineRule="auto"/>
              <w:ind w:left="-60"/>
              <w:jc w:val="center"/>
              <w:rPr>
                <w:rFonts w:cs="Times New Roman" w:asciiTheme="minorEastAsia" w:hAnsiTheme="minorEastAsia"/>
                <w:bCs/>
                <w:szCs w:val="21"/>
              </w:rPr>
            </w:pPr>
            <w:r>
              <w:rPr>
                <w:rFonts w:hint="eastAsia" w:cs="Times New Roman" w:asciiTheme="minorEastAsia" w:hAnsiTheme="minorEastAsia"/>
                <w:bCs/>
                <w:szCs w:val="21"/>
              </w:rPr>
              <w:t>复查维护计划</w:t>
            </w:r>
          </w:p>
        </w:tc>
        <w:tc>
          <w:tcPr>
            <w:tcW w:w="2384"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装置维护+复查</w:t>
            </w:r>
          </w:p>
        </w:tc>
        <w:tc>
          <w:tcPr>
            <w:tcW w:w="1118"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第四年</w:t>
            </w:r>
          </w:p>
        </w:tc>
        <w:tc>
          <w:tcPr>
            <w:tcW w:w="1116"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0.3万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693" w:type="dxa"/>
            <w:tcBorders>
              <w:top w:val="single" w:color="auto" w:sz="4" w:space="0"/>
              <w:left w:val="single" w:color="auto" w:sz="4" w:space="0"/>
              <w:bottom w:val="single" w:color="auto" w:sz="4" w:space="0"/>
              <w:right w:val="single" w:color="auto" w:sz="4" w:space="0"/>
            </w:tcBorders>
            <w:vAlign w:val="center"/>
          </w:tcPr>
          <w:p>
            <w:pPr>
              <w:spacing w:line="360" w:lineRule="auto"/>
              <w:ind w:firstLine="210" w:firstLineChars="100"/>
              <w:rPr>
                <w:rFonts w:cs="Times New Roman" w:asciiTheme="minorEastAsia" w:hAnsiTheme="minorEastAsia"/>
                <w:bCs/>
                <w:szCs w:val="21"/>
              </w:rPr>
            </w:pPr>
            <w:r>
              <w:rPr>
                <w:rFonts w:hint="eastAsia" w:cs="Times New Roman" w:asciiTheme="minorEastAsia" w:hAnsiTheme="minorEastAsia"/>
                <w:bCs/>
                <w:szCs w:val="21"/>
              </w:rPr>
              <w:t>5</w:t>
            </w:r>
          </w:p>
        </w:tc>
        <w:tc>
          <w:tcPr>
            <w:tcW w:w="1484"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复查维护期</w:t>
            </w:r>
          </w:p>
        </w:tc>
        <w:tc>
          <w:tcPr>
            <w:tcW w:w="1559"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复查维护计划</w:t>
            </w:r>
          </w:p>
        </w:tc>
        <w:tc>
          <w:tcPr>
            <w:tcW w:w="2384" w:type="dxa"/>
            <w:tcBorders>
              <w:top w:val="single" w:color="auto" w:sz="4" w:space="0"/>
              <w:left w:val="nil"/>
              <w:bottom w:val="single" w:color="auto" w:sz="4" w:space="0"/>
              <w:right w:val="single" w:color="auto" w:sz="4" w:space="0"/>
            </w:tcBorders>
            <w:vAlign w:val="center"/>
          </w:tcPr>
          <w:p>
            <w:pPr>
              <w:spacing w:line="360" w:lineRule="auto"/>
              <w:ind w:left="-60"/>
              <w:jc w:val="center"/>
              <w:rPr>
                <w:rFonts w:cs="Times New Roman" w:asciiTheme="minorEastAsia" w:hAnsiTheme="minorEastAsia"/>
                <w:bCs/>
                <w:szCs w:val="21"/>
              </w:rPr>
            </w:pPr>
            <w:r>
              <w:rPr>
                <w:rFonts w:hint="eastAsia" w:cs="Times New Roman" w:asciiTheme="minorEastAsia" w:hAnsiTheme="minorEastAsia"/>
                <w:bCs/>
                <w:szCs w:val="21"/>
              </w:rPr>
              <w:t>装置维护+复查</w:t>
            </w:r>
          </w:p>
        </w:tc>
        <w:tc>
          <w:tcPr>
            <w:tcW w:w="1118"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第五年</w:t>
            </w:r>
          </w:p>
        </w:tc>
        <w:tc>
          <w:tcPr>
            <w:tcW w:w="1116" w:type="dxa"/>
            <w:tcBorders>
              <w:top w:val="single" w:color="auto" w:sz="4" w:space="0"/>
              <w:left w:val="nil"/>
              <w:bottom w:val="single" w:color="auto" w:sz="4" w:space="0"/>
              <w:right w:val="single" w:color="auto" w:sz="4" w:space="0"/>
            </w:tcBorders>
            <w:vAlign w:val="center"/>
          </w:tcPr>
          <w:p>
            <w:pPr>
              <w:spacing w:line="360" w:lineRule="auto"/>
              <w:jc w:val="center"/>
              <w:rPr>
                <w:rFonts w:cs="Times New Roman" w:asciiTheme="minorEastAsia" w:hAnsiTheme="minorEastAsia"/>
                <w:bCs/>
                <w:szCs w:val="21"/>
              </w:rPr>
            </w:pPr>
            <w:r>
              <w:rPr>
                <w:rFonts w:hint="eastAsia" w:cs="Times New Roman" w:asciiTheme="minorEastAsia" w:hAnsiTheme="minorEastAsia"/>
                <w:bCs/>
                <w:szCs w:val="21"/>
              </w:rPr>
              <w:t>0.3万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6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cs="Times New Roman" w:asciiTheme="minorEastAsia" w:hAnsiTheme="minorEastAsia"/>
                <w:bCs/>
                <w:szCs w:val="21"/>
              </w:rPr>
            </w:pPr>
            <w:r>
              <w:rPr>
                <w:rFonts w:hint="eastAsia" w:cs="Times New Roman" w:asciiTheme="minorEastAsia" w:hAnsiTheme="minorEastAsia"/>
                <w:bCs/>
                <w:szCs w:val="21"/>
              </w:rPr>
              <w:t>合计</w:t>
            </w:r>
          </w:p>
        </w:tc>
        <w:tc>
          <w:tcPr>
            <w:tcW w:w="1484" w:type="dxa"/>
            <w:tcBorders>
              <w:top w:val="single" w:color="auto" w:sz="4" w:space="0"/>
              <w:left w:val="nil"/>
              <w:bottom w:val="single" w:color="auto" w:sz="4" w:space="0"/>
              <w:right w:val="single" w:color="auto" w:sz="4" w:space="0"/>
            </w:tcBorders>
            <w:vAlign w:val="center"/>
          </w:tcPr>
          <w:p>
            <w:pPr>
              <w:spacing w:line="360" w:lineRule="auto"/>
              <w:jc w:val="center"/>
              <w:rPr>
                <w:rFonts w:hint="eastAsia" w:cs="Times New Roman" w:asciiTheme="minorEastAsia" w:hAnsiTheme="minorEastAsia"/>
                <w:bCs/>
                <w:szCs w:val="21"/>
              </w:rPr>
            </w:pPr>
          </w:p>
        </w:tc>
        <w:tc>
          <w:tcPr>
            <w:tcW w:w="155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cs="Times New Roman" w:asciiTheme="minorEastAsia" w:hAnsiTheme="minorEastAsia"/>
                <w:bCs/>
                <w:szCs w:val="21"/>
              </w:rPr>
            </w:pPr>
          </w:p>
        </w:tc>
        <w:tc>
          <w:tcPr>
            <w:tcW w:w="2384" w:type="dxa"/>
            <w:tcBorders>
              <w:top w:val="single" w:color="auto" w:sz="4" w:space="0"/>
              <w:left w:val="nil"/>
              <w:bottom w:val="single" w:color="auto" w:sz="4" w:space="0"/>
              <w:right w:val="single" w:color="auto" w:sz="4" w:space="0"/>
            </w:tcBorders>
            <w:vAlign w:val="center"/>
          </w:tcPr>
          <w:p>
            <w:pPr>
              <w:spacing w:line="360" w:lineRule="auto"/>
              <w:ind w:left="-60"/>
              <w:jc w:val="center"/>
              <w:rPr>
                <w:rFonts w:hint="eastAsia" w:cs="Times New Roman" w:asciiTheme="minorEastAsia" w:hAnsiTheme="minorEastAsia"/>
                <w:bCs/>
                <w:szCs w:val="21"/>
              </w:rPr>
            </w:pPr>
          </w:p>
        </w:tc>
        <w:tc>
          <w:tcPr>
            <w:tcW w:w="1118" w:type="dxa"/>
            <w:tcBorders>
              <w:top w:val="single" w:color="auto" w:sz="4" w:space="0"/>
              <w:left w:val="nil"/>
              <w:bottom w:val="single" w:color="auto" w:sz="4" w:space="0"/>
              <w:right w:val="single" w:color="auto" w:sz="4" w:space="0"/>
            </w:tcBorders>
            <w:vAlign w:val="center"/>
          </w:tcPr>
          <w:p>
            <w:pPr>
              <w:spacing w:line="360" w:lineRule="auto"/>
              <w:jc w:val="center"/>
              <w:rPr>
                <w:rFonts w:hint="eastAsia" w:cs="Times New Roman" w:asciiTheme="minorEastAsia" w:hAnsiTheme="minorEastAsia"/>
                <w:bCs/>
                <w:szCs w:val="21"/>
              </w:rPr>
            </w:pPr>
          </w:p>
        </w:tc>
        <w:tc>
          <w:tcPr>
            <w:tcW w:w="1116" w:type="dxa"/>
            <w:tcBorders>
              <w:top w:val="single" w:color="auto" w:sz="4" w:space="0"/>
              <w:left w:val="nil"/>
              <w:bottom w:val="single" w:color="auto" w:sz="4" w:space="0"/>
              <w:right w:val="single" w:color="auto" w:sz="4" w:space="0"/>
            </w:tcBorders>
            <w:vAlign w:val="center"/>
          </w:tcPr>
          <w:p>
            <w:pPr>
              <w:spacing w:line="360" w:lineRule="auto"/>
              <w:jc w:val="center"/>
              <w:rPr>
                <w:rFonts w:hint="eastAsia" w:cs="Times New Roman" w:asciiTheme="minorEastAsia" w:hAnsiTheme="minorEastAsia"/>
                <w:bCs/>
                <w:szCs w:val="21"/>
              </w:rPr>
            </w:pPr>
            <w:r>
              <w:rPr>
                <w:rFonts w:hint="eastAsia" w:cs="Times New Roman" w:asciiTheme="minorEastAsia" w:hAnsiTheme="minorEastAsia"/>
                <w:bCs/>
                <w:szCs w:val="21"/>
              </w:rPr>
              <w:t>25万</w:t>
            </w:r>
          </w:p>
        </w:tc>
      </w:tr>
    </w:tbl>
    <w:p>
      <w:pPr>
        <w:spacing w:line="360" w:lineRule="auto"/>
        <w:rPr>
          <w:rFonts w:hint="eastAsia" w:asciiTheme="minorEastAsia" w:hAnsiTheme="minorEastAsia"/>
          <w:sz w:val="28"/>
          <w:szCs w:val="28"/>
        </w:rPr>
      </w:pPr>
    </w:p>
    <w:p>
      <w:pPr>
        <w:spacing w:line="360" w:lineRule="auto"/>
        <w:rPr>
          <w:rFonts w:hint="eastAsia" w:asciiTheme="minorEastAsia" w:hAnsiTheme="minorEastAsia"/>
          <w:b/>
          <w:sz w:val="28"/>
          <w:szCs w:val="28"/>
        </w:rPr>
      </w:pPr>
      <w:r>
        <w:rPr>
          <w:rFonts w:hint="eastAsia" w:asciiTheme="minorEastAsia" w:hAnsiTheme="minorEastAsia"/>
          <w:b/>
          <w:sz w:val="28"/>
          <w:szCs w:val="28"/>
        </w:rPr>
        <w:t>七、参与竞价程序</w:t>
      </w:r>
    </w:p>
    <w:p>
      <w:pPr>
        <w:spacing w:line="360" w:lineRule="auto"/>
        <w:rPr>
          <w:rFonts w:hint="eastAsia" w:asciiTheme="minorEastAsia" w:hAnsiTheme="minorEastAsia"/>
          <w:sz w:val="28"/>
          <w:szCs w:val="28"/>
        </w:rPr>
      </w:pPr>
      <w:r>
        <w:rPr>
          <w:rFonts w:hint="eastAsia" w:asciiTheme="minorEastAsia" w:hAnsiTheme="minorEastAsia"/>
          <w:sz w:val="28"/>
          <w:szCs w:val="28"/>
        </w:rPr>
        <w:t>（一）报送相关材料及时间要求：</w:t>
      </w:r>
    </w:p>
    <w:p>
      <w:pPr>
        <w:spacing w:line="360" w:lineRule="auto"/>
        <w:ind w:firstLine="560" w:firstLineChars="200"/>
        <w:rPr>
          <w:rFonts w:hint="eastAsia" w:asciiTheme="minorEastAsia" w:hAnsiTheme="minorEastAsia"/>
          <w:sz w:val="28"/>
          <w:szCs w:val="28"/>
          <w:lang w:eastAsia="zh-CN"/>
        </w:rPr>
      </w:pPr>
      <w:r>
        <w:rPr>
          <w:rFonts w:hint="eastAsia" w:asciiTheme="minorEastAsia" w:hAnsiTheme="minorEastAsia"/>
          <w:sz w:val="28"/>
          <w:szCs w:val="28"/>
        </w:rPr>
        <w:t>1．请有意参与竞价的服务单位准备相关竞价资料，并于2021年</w:t>
      </w:r>
      <w:r>
        <w:rPr>
          <w:rFonts w:hint="eastAsia" w:asciiTheme="minorEastAsia" w:hAnsiTheme="minorEastAsia"/>
          <w:sz w:val="28"/>
          <w:szCs w:val="28"/>
          <w:lang w:val="en-US" w:eastAsia="zh-CN"/>
        </w:rPr>
        <w:t>4</w:t>
      </w:r>
      <w:r>
        <w:rPr>
          <w:rFonts w:hint="eastAsia" w:asciiTheme="minorEastAsia" w:hAnsiTheme="minorEastAsia"/>
          <w:sz w:val="28"/>
          <w:szCs w:val="28"/>
        </w:rPr>
        <w:t>月</w:t>
      </w:r>
      <w:r>
        <w:rPr>
          <w:rFonts w:hint="eastAsia" w:asciiTheme="minorEastAsia" w:hAnsiTheme="minorEastAsia"/>
          <w:sz w:val="28"/>
          <w:szCs w:val="28"/>
          <w:lang w:val="en-US" w:eastAsia="zh-CN"/>
        </w:rPr>
        <w:t>6</w:t>
      </w:r>
      <w:r>
        <w:rPr>
          <w:rFonts w:hint="eastAsia" w:asciiTheme="minorEastAsia" w:hAnsiTheme="minorEastAsia"/>
          <w:sz w:val="28"/>
          <w:szCs w:val="28"/>
        </w:rPr>
        <w:t>日</w:t>
      </w:r>
      <w:r>
        <w:rPr>
          <w:rFonts w:hint="eastAsia" w:asciiTheme="minorEastAsia" w:hAnsiTheme="minorEastAsia"/>
          <w:sz w:val="28"/>
          <w:szCs w:val="28"/>
          <w:lang w:val="en-US" w:eastAsia="zh-CN"/>
        </w:rPr>
        <w:t>中午12</w:t>
      </w:r>
      <w:r>
        <w:rPr>
          <w:rFonts w:hint="eastAsia" w:asciiTheme="minorEastAsia" w:hAnsiTheme="minorEastAsia"/>
          <w:sz w:val="28"/>
          <w:szCs w:val="28"/>
        </w:rPr>
        <w:t>:00前（报名截至时间）将相关资格审查材料（只需提供以下第2条内容中第1-3项）报后勤管理处物业中心（丽水职业技术学院7幢104室）初审；经资格初审合格的</w:t>
      </w:r>
      <w:r>
        <w:rPr>
          <w:rFonts w:hint="eastAsia" w:cs="Calibri" w:asciiTheme="minorEastAsia" w:hAnsiTheme="minorEastAsia"/>
          <w:color w:val="333333"/>
          <w:kern w:val="0"/>
          <w:sz w:val="28"/>
          <w:szCs w:val="28"/>
        </w:rPr>
        <w:t>白蚁防治服务单位</w:t>
      </w:r>
      <w:r>
        <w:rPr>
          <w:rFonts w:hint="eastAsia" w:asciiTheme="minorEastAsia" w:hAnsiTheme="minorEastAsia"/>
          <w:sz w:val="28"/>
          <w:szCs w:val="28"/>
        </w:rPr>
        <w:t>将全套评审材料（详见</w:t>
      </w:r>
      <w:r>
        <w:rPr>
          <w:rFonts w:hint="eastAsia" w:asciiTheme="minorEastAsia" w:hAnsiTheme="minorEastAsia"/>
          <w:sz w:val="28"/>
          <w:szCs w:val="28"/>
          <w:lang w:val="en-US" w:eastAsia="zh-CN"/>
        </w:rPr>
        <w:t>以下</w:t>
      </w:r>
      <w:r>
        <w:rPr>
          <w:rFonts w:hint="eastAsia" w:asciiTheme="minorEastAsia" w:hAnsiTheme="minorEastAsia"/>
          <w:sz w:val="28"/>
          <w:szCs w:val="28"/>
        </w:rPr>
        <w:t>第2条第1-6项全部内容）密封后</w:t>
      </w:r>
      <w:r>
        <w:rPr>
          <w:rFonts w:hint="eastAsia" w:asciiTheme="minorEastAsia" w:hAnsiTheme="minorEastAsia"/>
          <w:sz w:val="28"/>
          <w:szCs w:val="28"/>
          <w:lang w:val="en-US" w:eastAsia="zh-CN"/>
        </w:rPr>
        <w:t>请</w:t>
      </w:r>
      <w:r>
        <w:rPr>
          <w:rFonts w:hint="eastAsia" w:asciiTheme="minorEastAsia" w:hAnsiTheme="minorEastAsia"/>
          <w:sz w:val="28"/>
          <w:szCs w:val="28"/>
        </w:rPr>
        <w:t>于2021年</w:t>
      </w:r>
      <w:r>
        <w:rPr>
          <w:rFonts w:hint="eastAsia" w:asciiTheme="minorEastAsia" w:hAnsiTheme="minorEastAsia"/>
          <w:sz w:val="28"/>
          <w:szCs w:val="28"/>
          <w:lang w:val="en-US" w:eastAsia="zh-CN"/>
        </w:rPr>
        <w:t>4</w:t>
      </w:r>
      <w:r>
        <w:rPr>
          <w:rFonts w:hint="eastAsia" w:asciiTheme="minorEastAsia" w:hAnsiTheme="minorEastAsia"/>
          <w:sz w:val="28"/>
          <w:szCs w:val="28"/>
        </w:rPr>
        <w:t>月</w:t>
      </w:r>
      <w:r>
        <w:rPr>
          <w:rFonts w:hint="eastAsia" w:asciiTheme="minorEastAsia" w:hAnsiTheme="minorEastAsia"/>
          <w:sz w:val="28"/>
          <w:szCs w:val="28"/>
          <w:lang w:val="en-US" w:eastAsia="zh-CN"/>
        </w:rPr>
        <w:t>9</w:t>
      </w:r>
      <w:r>
        <w:rPr>
          <w:rFonts w:hint="eastAsia" w:asciiTheme="minorEastAsia" w:hAnsiTheme="minorEastAsia"/>
          <w:sz w:val="28"/>
          <w:szCs w:val="28"/>
        </w:rPr>
        <w:t>日上午10:00</w:t>
      </w:r>
      <w:r>
        <w:rPr>
          <w:rFonts w:hint="eastAsia" w:asciiTheme="minorEastAsia" w:hAnsiTheme="minorEastAsia"/>
          <w:sz w:val="28"/>
          <w:szCs w:val="28"/>
          <w:lang w:val="en-US" w:eastAsia="zh-CN"/>
        </w:rPr>
        <w:t>前</w:t>
      </w:r>
      <w:r>
        <w:rPr>
          <w:rFonts w:hint="eastAsia" w:asciiTheme="minorEastAsia" w:hAnsiTheme="minorEastAsia"/>
          <w:sz w:val="28"/>
          <w:szCs w:val="28"/>
        </w:rPr>
        <w:t>（参与评审截至时间）送7号楼会议室参与本项目评审</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10：00正式开始竞价会议</w:t>
      </w:r>
      <w:r>
        <w:rPr>
          <w:rFonts w:hint="eastAsia" w:asciiTheme="minorEastAsia" w:hAnsiTheme="minorEastAsia"/>
          <w:sz w:val="28"/>
          <w:szCs w:val="28"/>
          <w:lang w:eastAsia="zh-CN"/>
        </w:rPr>
        <w:t>。</w:t>
      </w:r>
    </w:p>
    <w:p>
      <w:pPr>
        <w:spacing w:line="360" w:lineRule="auto"/>
        <w:ind w:firstLine="560" w:firstLineChars="200"/>
        <w:rPr>
          <w:rFonts w:hint="eastAsia" w:asciiTheme="minorEastAsia" w:hAnsiTheme="minorEastAsia"/>
          <w:sz w:val="28"/>
          <w:szCs w:val="28"/>
        </w:rPr>
      </w:pPr>
      <w:r>
        <w:rPr>
          <w:rFonts w:hint="eastAsia" w:asciiTheme="minorEastAsia" w:hAnsiTheme="minorEastAsia"/>
          <w:sz w:val="28"/>
          <w:szCs w:val="28"/>
          <w:lang w:val="en-US" w:eastAsia="zh-CN"/>
        </w:rPr>
        <w:t>注：评审时候为暂定时间，如有变化会提前通知</w:t>
      </w:r>
      <w:r>
        <w:rPr>
          <w:rFonts w:hint="eastAsia" w:asciiTheme="minorEastAsia" w:hAnsiTheme="minorEastAsia"/>
          <w:sz w:val="28"/>
          <w:szCs w:val="28"/>
        </w:rPr>
        <w:t>。</w:t>
      </w:r>
    </w:p>
    <w:p>
      <w:pPr>
        <w:spacing w:line="360" w:lineRule="auto"/>
        <w:ind w:firstLine="560" w:firstLineChars="200"/>
        <w:rPr>
          <w:rFonts w:hint="eastAsia" w:asciiTheme="minorEastAsia" w:hAnsiTheme="minorEastAsia"/>
          <w:sz w:val="28"/>
          <w:szCs w:val="28"/>
        </w:rPr>
      </w:pPr>
      <w:r>
        <w:rPr>
          <w:rFonts w:hint="eastAsia" w:asciiTheme="minorEastAsia" w:hAnsiTheme="minorEastAsia"/>
          <w:sz w:val="28"/>
          <w:szCs w:val="28"/>
        </w:rPr>
        <w:t>2．相关报名单位提供如下相关资料：</w:t>
      </w:r>
    </w:p>
    <w:p>
      <w:pPr>
        <w:spacing w:line="360" w:lineRule="auto"/>
        <w:rPr>
          <w:rFonts w:hint="eastAsia" w:asciiTheme="minorEastAsia" w:hAnsiTheme="minorEastAsia"/>
          <w:sz w:val="28"/>
          <w:szCs w:val="28"/>
        </w:rPr>
      </w:pPr>
      <w:r>
        <w:rPr>
          <w:rFonts w:hint="eastAsia" w:asciiTheme="minorEastAsia" w:hAnsiTheme="minorEastAsia"/>
          <w:sz w:val="28"/>
          <w:szCs w:val="28"/>
        </w:rPr>
        <w:t>（1）营业执照（三证合一）（原件/复印件加盖公章）；</w:t>
      </w:r>
    </w:p>
    <w:p>
      <w:pPr>
        <w:spacing w:line="360" w:lineRule="auto"/>
        <w:rPr>
          <w:rFonts w:hint="eastAsia" w:asciiTheme="minorEastAsia" w:hAnsiTheme="minorEastAsia"/>
          <w:sz w:val="28"/>
          <w:szCs w:val="28"/>
        </w:rPr>
      </w:pPr>
      <w:r>
        <w:rPr>
          <w:rFonts w:hint="eastAsia" w:asciiTheme="minorEastAsia" w:hAnsiTheme="minorEastAsia"/>
          <w:sz w:val="28"/>
          <w:szCs w:val="28"/>
        </w:rPr>
        <w:t>（2）税务登记证（原件/复印件加盖公章）；</w:t>
      </w:r>
    </w:p>
    <w:p>
      <w:pPr>
        <w:spacing w:line="360" w:lineRule="auto"/>
        <w:rPr>
          <w:rFonts w:hint="eastAsia" w:asciiTheme="minorEastAsia" w:hAnsiTheme="minorEastAsia"/>
          <w:sz w:val="28"/>
          <w:szCs w:val="28"/>
        </w:rPr>
      </w:pPr>
      <w:r>
        <w:rPr>
          <w:rFonts w:hint="eastAsia" w:asciiTheme="minorEastAsia" w:hAnsiTheme="minorEastAsia"/>
          <w:sz w:val="28"/>
          <w:szCs w:val="28"/>
        </w:rPr>
        <w:t>（3）组织机构代码证（原件/复印件加盖公章）；</w:t>
      </w:r>
    </w:p>
    <w:p>
      <w:pPr>
        <w:spacing w:line="360" w:lineRule="auto"/>
        <w:rPr>
          <w:rFonts w:hint="eastAsia" w:asciiTheme="minorEastAsia" w:hAnsiTheme="minorEastAsia"/>
          <w:sz w:val="28"/>
          <w:szCs w:val="28"/>
        </w:rPr>
      </w:pPr>
      <w:r>
        <w:rPr>
          <w:rFonts w:hint="eastAsia" w:asciiTheme="minorEastAsia" w:hAnsiTheme="minorEastAsia"/>
          <w:sz w:val="28"/>
          <w:szCs w:val="28"/>
        </w:rPr>
        <w:t>（4）过往业绩（近两年签订的相类似项目合同原件至少两份）；</w:t>
      </w:r>
    </w:p>
    <w:p>
      <w:pPr>
        <w:spacing w:line="360" w:lineRule="auto"/>
        <w:rPr>
          <w:rFonts w:hint="eastAsia" w:asciiTheme="minorEastAsia" w:hAnsiTheme="minorEastAsia"/>
          <w:sz w:val="28"/>
          <w:szCs w:val="28"/>
        </w:rPr>
      </w:pPr>
      <w:r>
        <w:rPr>
          <w:rFonts w:hint="eastAsia" w:asciiTheme="minorEastAsia" w:hAnsiTheme="minorEastAsia"/>
          <w:sz w:val="28"/>
          <w:szCs w:val="28"/>
        </w:rPr>
        <w:t>（5）拟派的项目负责人应具有白蚁防治专业工程师职称；（原件）</w:t>
      </w:r>
    </w:p>
    <w:p>
      <w:pPr>
        <w:spacing w:line="360" w:lineRule="auto"/>
        <w:rPr>
          <w:rFonts w:hint="eastAsia" w:asciiTheme="minorEastAsia" w:hAnsiTheme="minorEastAsia"/>
          <w:sz w:val="28"/>
          <w:szCs w:val="28"/>
        </w:rPr>
      </w:pPr>
      <w:r>
        <w:rPr>
          <w:rFonts w:hint="eastAsia" w:asciiTheme="minorEastAsia" w:hAnsiTheme="minorEastAsia"/>
          <w:sz w:val="28"/>
          <w:szCs w:val="28"/>
        </w:rPr>
        <w:t>（6）项目拟投入的人员配备、灭杀工具设备及所选用的灭杀药剂的品牌、性能、检验报告</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防疫方案</w:t>
      </w:r>
      <w:r>
        <w:rPr>
          <w:rFonts w:hint="eastAsia" w:asciiTheme="minorEastAsia" w:hAnsiTheme="minorEastAsia"/>
          <w:sz w:val="28"/>
          <w:szCs w:val="28"/>
        </w:rPr>
        <w:t>等服务承诺材料（加盖公章）；</w:t>
      </w:r>
    </w:p>
    <w:p>
      <w:pPr>
        <w:spacing w:line="360" w:lineRule="auto"/>
        <w:rPr>
          <w:rFonts w:hint="eastAsia" w:asciiTheme="minorEastAsia" w:hAnsiTheme="minorEastAsia"/>
          <w:sz w:val="28"/>
          <w:szCs w:val="28"/>
        </w:rPr>
      </w:pPr>
      <w:r>
        <w:rPr>
          <w:rFonts w:hint="eastAsia" w:asciiTheme="minorEastAsia" w:hAnsiTheme="minorEastAsia"/>
          <w:sz w:val="28"/>
          <w:szCs w:val="28"/>
        </w:rPr>
        <w:t>（二）评审时间：</w:t>
      </w:r>
    </w:p>
    <w:p>
      <w:pPr>
        <w:spacing w:line="360" w:lineRule="auto"/>
        <w:ind w:firstLine="560" w:firstLineChars="200"/>
        <w:rPr>
          <w:rFonts w:hint="eastAsia" w:asciiTheme="minorEastAsia" w:hAnsiTheme="minorEastAsia"/>
          <w:sz w:val="28"/>
          <w:szCs w:val="28"/>
        </w:rPr>
      </w:pPr>
      <w:r>
        <w:rPr>
          <w:rFonts w:hint="eastAsia" w:asciiTheme="minorEastAsia" w:hAnsiTheme="minorEastAsia"/>
          <w:sz w:val="28"/>
          <w:szCs w:val="28"/>
        </w:rPr>
        <w:t>1.评审小组成员于2021年</w:t>
      </w:r>
      <w:r>
        <w:rPr>
          <w:rFonts w:hint="eastAsia" w:asciiTheme="minorEastAsia" w:hAnsiTheme="minorEastAsia"/>
          <w:sz w:val="28"/>
          <w:szCs w:val="28"/>
          <w:lang w:val="en-US" w:eastAsia="zh-CN"/>
        </w:rPr>
        <w:t>X</w:t>
      </w:r>
      <w:r>
        <w:rPr>
          <w:rFonts w:hint="eastAsia" w:asciiTheme="minorEastAsia" w:hAnsiTheme="minorEastAsia"/>
          <w:sz w:val="28"/>
          <w:szCs w:val="28"/>
        </w:rPr>
        <w:t>月</w:t>
      </w:r>
      <w:r>
        <w:rPr>
          <w:rFonts w:hint="eastAsia" w:asciiTheme="minorEastAsia" w:hAnsiTheme="minorEastAsia"/>
          <w:sz w:val="28"/>
          <w:szCs w:val="28"/>
          <w:lang w:val="en-US" w:eastAsia="zh-CN"/>
        </w:rPr>
        <w:t>X</w:t>
      </w:r>
      <w:r>
        <w:rPr>
          <w:rFonts w:hint="eastAsia" w:asciiTheme="minorEastAsia" w:hAnsiTheme="minorEastAsia"/>
          <w:sz w:val="28"/>
          <w:szCs w:val="28"/>
        </w:rPr>
        <w:t>日上午10:00在7号楼会议室对项目进行综合评审。</w:t>
      </w:r>
    </w:p>
    <w:p>
      <w:pPr>
        <w:spacing w:line="360" w:lineRule="auto"/>
        <w:ind w:firstLine="560" w:firstLineChars="200"/>
        <w:rPr>
          <w:rFonts w:hint="eastAsia" w:asciiTheme="minorEastAsia" w:hAnsiTheme="minorEastAsia"/>
          <w:sz w:val="28"/>
          <w:szCs w:val="28"/>
        </w:rPr>
      </w:pPr>
      <w:r>
        <w:rPr>
          <w:rFonts w:hint="eastAsia" w:asciiTheme="minorEastAsia" w:hAnsiTheme="minorEastAsia"/>
          <w:sz w:val="28"/>
          <w:szCs w:val="28"/>
        </w:rPr>
        <w:t>评委成员根据供应商报价、技术要求承诺、公司规模、类似业绩、本项目拟投入的人员配备、灭杀工具设备及所选用的灭杀药剂的品牌、性能、检验报告等方面进行综合评分，根据评分高低确定中标单位。</w:t>
      </w:r>
    </w:p>
    <w:p>
      <w:pPr>
        <w:spacing w:line="360" w:lineRule="auto"/>
        <w:ind w:firstLine="560" w:firstLineChars="200"/>
        <w:rPr>
          <w:rFonts w:hint="eastAsia" w:asciiTheme="minorEastAsia" w:hAnsiTheme="minorEastAsia"/>
          <w:sz w:val="28"/>
          <w:szCs w:val="28"/>
        </w:rPr>
      </w:pPr>
      <w:r>
        <w:rPr>
          <w:rFonts w:hint="eastAsia" w:asciiTheme="minorEastAsia" w:hAnsiTheme="minorEastAsia"/>
          <w:sz w:val="28"/>
          <w:szCs w:val="28"/>
        </w:rPr>
        <w:t>2.经2021年</w:t>
      </w:r>
      <w:r>
        <w:rPr>
          <w:rFonts w:hint="eastAsia" w:asciiTheme="minorEastAsia" w:hAnsiTheme="minorEastAsia"/>
          <w:sz w:val="28"/>
          <w:szCs w:val="28"/>
          <w:lang w:val="en-US" w:eastAsia="zh-CN"/>
        </w:rPr>
        <w:t>X</w:t>
      </w:r>
      <w:r>
        <w:rPr>
          <w:rFonts w:hint="eastAsia" w:asciiTheme="minorEastAsia" w:hAnsiTheme="minorEastAsia"/>
          <w:sz w:val="28"/>
          <w:szCs w:val="28"/>
        </w:rPr>
        <w:t>月</w:t>
      </w:r>
      <w:r>
        <w:rPr>
          <w:rFonts w:hint="eastAsia" w:asciiTheme="minorEastAsia" w:hAnsiTheme="minorEastAsia"/>
          <w:sz w:val="28"/>
          <w:szCs w:val="28"/>
          <w:lang w:val="en-US" w:eastAsia="zh-CN"/>
        </w:rPr>
        <w:t>X</w:t>
      </w:r>
      <w:r>
        <w:rPr>
          <w:rFonts w:hint="eastAsia" w:asciiTheme="minorEastAsia" w:hAnsiTheme="minorEastAsia"/>
          <w:sz w:val="28"/>
          <w:szCs w:val="28"/>
        </w:rPr>
        <w:t>日</w:t>
      </w:r>
      <w:r>
        <w:rPr>
          <w:rFonts w:hint="eastAsia" w:asciiTheme="minorEastAsia" w:hAnsiTheme="minorEastAsia"/>
          <w:sz w:val="28"/>
          <w:szCs w:val="28"/>
          <w:lang w:val="en-US" w:eastAsia="zh-CN"/>
        </w:rPr>
        <w:t>中午12</w:t>
      </w:r>
      <w:r>
        <w:rPr>
          <w:rFonts w:hint="eastAsia" w:asciiTheme="minorEastAsia" w:hAnsiTheme="minorEastAsia"/>
          <w:sz w:val="28"/>
          <w:szCs w:val="28"/>
        </w:rPr>
        <w:t>:00前报名初审合格符合竞价条件的供应商，请于2021年</w:t>
      </w:r>
      <w:r>
        <w:rPr>
          <w:rFonts w:hint="eastAsia" w:asciiTheme="minorEastAsia" w:hAnsiTheme="minorEastAsia"/>
          <w:sz w:val="28"/>
          <w:szCs w:val="28"/>
          <w:lang w:val="en-US" w:eastAsia="zh-CN"/>
        </w:rPr>
        <w:t>X</w:t>
      </w:r>
      <w:r>
        <w:rPr>
          <w:rFonts w:hint="eastAsia" w:asciiTheme="minorEastAsia" w:hAnsiTheme="minorEastAsia"/>
          <w:sz w:val="28"/>
          <w:szCs w:val="28"/>
        </w:rPr>
        <w:t>月</w:t>
      </w:r>
      <w:r>
        <w:rPr>
          <w:rFonts w:hint="eastAsia" w:asciiTheme="minorEastAsia" w:hAnsiTheme="minorEastAsia"/>
          <w:sz w:val="28"/>
          <w:szCs w:val="28"/>
          <w:lang w:val="en-US" w:eastAsia="zh-CN"/>
        </w:rPr>
        <w:t>X</w:t>
      </w:r>
      <w:r>
        <w:rPr>
          <w:rFonts w:hint="eastAsia" w:asciiTheme="minorEastAsia" w:hAnsiTheme="minorEastAsia"/>
          <w:sz w:val="28"/>
          <w:szCs w:val="28"/>
        </w:rPr>
        <w:t>日上午10:00携带相关项目密封资料到7号楼会议室进行现场唱标、竞价、服务承诺。</w:t>
      </w:r>
    </w:p>
    <w:p>
      <w:pPr>
        <w:spacing w:line="360" w:lineRule="auto"/>
        <w:ind w:firstLine="560" w:firstLineChars="200"/>
        <w:rPr>
          <w:rFonts w:hint="eastAsia" w:asciiTheme="minorEastAsia" w:hAnsiTheme="minorEastAsia"/>
          <w:sz w:val="28"/>
          <w:szCs w:val="28"/>
        </w:rPr>
      </w:pPr>
      <w:r>
        <w:rPr>
          <w:rFonts w:hint="eastAsia" w:asciiTheme="minorEastAsia" w:hAnsiTheme="minorEastAsia"/>
          <w:sz w:val="28"/>
          <w:szCs w:val="28"/>
        </w:rPr>
        <w:t xml:space="preserve">3.项目联系人：钟建伟 0578-2271017 </w:t>
      </w:r>
    </w:p>
    <w:p>
      <w:pPr>
        <w:ind w:firstLine="560" w:firstLineChars="200"/>
        <w:rPr>
          <w:rFonts w:hint="eastAsia"/>
          <w:sz w:val="28"/>
          <w:szCs w:val="28"/>
          <w:lang w:val="en-US" w:eastAsia="zh-CN"/>
        </w:rPr>
      </w:pPr>
    </w:p>
    <w:p>
      <w:pPr>
        <w:ind w:firstLine="560" w:firstLineChars="200"/>
        <w:rPr>
          <w:rFonts w:hint="default" w:eastAsiaTheme="minorEastAsia"/>
          <w:sz w:val="28"/>
          <w:szCs w:val="28"/>
          <w:lang w:val="en-US" w:eastAsia="zh-CN"/>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C90"/>
    <w:rsid w:val="004C6480"/>
    <w:rsid w:val="005A7988"/>
    <w:rsid w:val="006246EC"/>
    <w:rsid w:val="006C02EA"/>
    <w:rsid w:val="007B4E01"/>
    <w:rsid w:val="009B6D36"/>
    <w:rsid w:val="009F4992"/>
    <w:rsid w:val="00AB1F9C"/>
    <w:rsid w:val="00AF2CA5"/>
    <w:rsid w:val="00B65166"/>
    <w:rsid w:val="00B74A36"/>
    <w:rsid w:val="00C46C90"/>
    <w:rsid w:val="00C954EC"/>
    <w:rsid w:val="00CE29BC"/>
    <w:rsid w:val="0BA03DA6"/>
    <w:rsid w:val="0D1974DB"/>
    <w:rsid w:val="2122346A"/>
    <w:rsid w:val="24EA4539"/>
    <w:rsid w:val="314F550F"/>
    <w:rsid w:val="3CEB10E6"/>
    <w:rsid w:val="42E54A3D"/>
    <w:rsid w:val="620218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317</Words>
  <Characters>1808</Characters>
  <Lines>15</Lines>
  <Paragraphs>4</Paragraphs>
  <TotalTime>7</TotalTime>
  <ScaleCrop>false</ScaleCrop>
  <LinksUpToDate>false</LinksUpToDate>
  <CharactersWithSpaces>2121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2021-03-08T06:46:00Z</dcterms:created>
  <dc:creator>Windows 用户</dc:creator>
  <cp:lastModifiedBy>微笑</cp:lastModifiedBy>
  <cp:lastPrinted>2021-03-22T08:55:00Z</cp:lastPrinted>
  <dcterms:modified xsi:type="dcterms:W3CDTF">2021-03-29T02:03:02Z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4EC2F6102874465893B515E49C35435B</vt:lpwstr>
  </property>
</Properties>
</file>