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DEDEBC">
      <w:pPr>
        <w:spacing w:line="560" w:lineRule="exact"/>
        <w:rPr>
          <w:rFonts w:ascii="黑体" w:hAnsi="黑体" w:eastAsia="黑体" w:cs="黑体"/>
          <w:spacing w:val="15"/>
          <w:sz w:val="32"/>
          <w:szCs w:val="32"/>
        </w:rPr>
      </w:pPr>
    </w:p>
    <w:p w14:paraId="533943BB">
      <w:pPr>
        <w:spacing w:line="560" w:lineRule="exact"/>
        <w:jc w:val="center"/>
        <w:rPr>
          <w:rFonts w:ascii="方正小标宋简体" w:hAnsi="方正小标宋简体" w:eastAsia="方正小标宋简体" w:cs="方正小标宋简体"/>
          <w:spacing w:val="15"/>
          <w:sz w:val="44"/>
          <w:szCs w:val="44"/>
        </w:rPr>
      </w:pPr>
    </w:p>
    <w:p w14:paraId="11A7E4A0">
      <w:pPr>
        <w:spacing w:line="560" w:lineRule="exact"/>
        <w:jc w:val="center"/>
        <w:rPr>
          <w:rFonts w:ascii="方正小标宋简体" w:hAnsi="方正小标宋简体" w:eastAsia="方正小标宋简体" w:cs="方正小标宋简体"/>
          <w:bCs/>
          <w:spacing w:val="15"/>
          <w:sz w:val="44"/>
          <w:szCs w:val="44"/>
        </w:rPr>
      </w:pPr>
    </w:p>
    <w:p w14:paraId="620F3EF5">
      <w:pPr>
        <w:spacing w:line="560" w:lineRule="exact"/>
        <w:jc w:val="center"/>
        <w:rPr>
          <w:rFonts w:ascii="方正小标宋简体" w:hAnsi="方正小标宋简体" w:eastAsia="方正小标宋简体" w:cs="方正小标宋简体"/>
          <w:bCs/>
          <w:spacing w:val="15"/>
          <w:sz w:val="44"/>
          <w:szCs w:val="44"/>
        </w:rPr>
      </w:pPr>
    </w:p>
    <w:p w14:paraId="5AF54426">
      <w:pPr>
        <w:spacing w:line="560" w:lineRule="exact"/>
        <w:jc w:val="center"/>
        <w:rPr>
          <w:rFonts w:ascii="方正小标宋简体" w:hAnsi="方正小标宋简体" w:eastAsia="方正小标宋简体" w:cs="方正小标宋简体"/>
          <w:bCs/>
          <w:spacing w:val="15"/>
          <w:sz w:val="44"/>
          <w:szCs w:val="44"/>
        </w:rPr>
      </w:pPr>
    </w:p>
    <w:p w14:paraId="79BC283F">
      <w:pPr>
        <w:spacing w:line="560" w:lineRule="exact"/>
        <w:jc w:val="center"/>
        <w:rPr>
          <w:rFonts w:ascii="方正小标宋简体" w:hAnsi="方正小标宋简体" w:eastAsia="方正小标宋简体" w:cs="方正小标宋简体"/>
          <w:bCs/>
          <w:spacing w:val="15"/>
          <w:sz w:val="44"/>
          <w:szCs w:val="44"/>
        </w:rPr>
      </w:pPr>
    </w:p>
    <w:p w14:paraId="0D65D45D">
      <w:pPr>
        <w:spacing w:line="560" w:lineRule="exact"/>
        <w:jc w:val="center"/>
        <w:rPr>
          <w:rFonts w:ascii="方正小标宋简体" w:hAnsi="方正小标宋简体" w:eastAsia="方正小标宋简体" w:cs="方正小标宋简体"/>
          <w:bCs/>
          <w:spacing w:val="15"/>
          <w:sz w:val="44"/>
          <w:szCs w:val="44"/>
        </w:rPr>
      </w:pPr>
    </w:p>
    <w:p w14:paraId="3A601E2C">
      <w:pPr>
        <w:spacing w:line="560" w:lineRule="exact"/>
        <w:jc w:val="center"/>
        <w:rPr>
          <w:rFonts w:ascii="方正小标宋简体" w:hAnsi="方正小标宋简体" w:eastAsia="方正小标宋简体" w:cs="方正小标宋简体"/>
          <w:bCs/>
          <w:spacing w:val="15"/>
          <w:sz w:val="44"/>
          <w:szCs w:val="44"/>
        </w:rPr>
      </w:pPr>
    </w:p>
    <w:p w14:paraId="3CC8D957">
      <w:pPr>
        <w:spacing w:line="560" w:lineRule="exact"/>
        <w:jc w:val="center"/>
        <w:rPr>
          <w:rFonts w:ascii="方正小标宋简体" w:hAnsi="方正小标宋简体" w:eastAsia="方正小标宋简体" w:cs="方正小标宋简体"/>
          <w:bCs/>
          <w:spacing w:val="15"/>
          <w:sz w:val="44"/>
          <w:szCs w:val="44"/>
        </w:rPr>
      </w:pPr>
    </w:p>
    <w:p w14:paraId="0F51AEFE">
      <w:pPr>
        <w:spacing w:line="560" w:lineRule="exact"/>
        <w:jc w:val="center"/>
        <w:rPr>
          <w:rFonts w:ascii="方正小标宋简体" w:hAnsi="方正小标宋简体" w:eastAsia="方正小标宋简体" w:cs="方正小标宋简体"/>
          <w:bCs/>
          <w:spacing w:val="15"/>
          <w:sz w:val="44"/>
          <w:szCs w:val="44"/>
        </w:rPr>
      </w:pPr>
      <w:r>
        <w:rPr>
          <w:rFonts w:ascii="方正小标宋简体" w:hAnsi="方正小标宋简体" w:eastAsia="方正小标宋简体" w:cs="方正小标宋简体"/>
          <w:bCs/>
          <w:spacing w:val="15"/>
          <w:sz w:val="44"/>
          <w:szCs w:val="44"/>
        </w:rPr>
        <w:t>丽水职业技术学院</w:t>
      </w:r>
      <w:r>
        <w:rPr>
          <w:rFonts w:hint="eastAsia" w:ascii="方正小标宋简体" w:hAnsi="方正小标宋简体" w:eastAsia="方正小标宋简体" w:cs="方正小标宋简体"/>
          <w:bCs/>
          <w:spacing w:val="15"/>
          <w:sz w:val="44"/>
          <w:szCs w:val="44"/>
          <w:lang w:eastAsia="zh-CN"/>
        </w:rPr>
        <w:t>2026年</w:t>
      </w:r>
      <w:r>
        <w:rPr>
          <w:rFonts w:hint="eastAsia" w:ascii="方正小标宋简体" w:hAnsi="方正小标宋简体" w:eastAsia="方正小标宋简体" w:cs="方正小标宋简体"/>
          <w:bCs/>
          <w:spacing w:val="15"/>
          <w:sz w:val="44"/>
          <w:szCs w:val="44"/>
        </w:rPr>
        <w:t>部门预算</w:t>
      </w:r>
    </w:p>
    <w:p w14:paraId="21D0F9A8">
      <w:pPr>
        <w:spacing w:line="560" w:lineRule="exact"/>
        <w:ind w:firstLine="590" w:firstLineChars="196"/>
        <w:rPr>
          <w:rStyle w:val="11"/>
          <w:color w:val="000000"/>
          <w:sz w:val="30"/>
          <w:szCs w:val="30"/>
        </w:rPr>
      </w:pPr>
    </w:p>
    <w:p w14:paraId="2E67FBFA">
      <w:pPr>
        <w:spacing w:line="520" w:lineRule="exact"/>
        <w:ind w:firstLine="627" w:firstLineChars="196"/>
        <w:jc w:val="center"/>
        <w:rPr>
          <w:rStyle w:val="11"/>
          <w:rFonts w:ascii="黑体" w:eastAsia="黑体"/>
          <w:b w:val="0"/>
          <w:color w:val="000000"/>
          <w:sz w:val="32"/>
          <w:szCs w:val="32"/>
        </w:rPr>
      </w:pPr>
    </w:p>
    <w:p w14:paraId="08415EEA">
      <w:pPr>
        <w:spacing w:line="520" w:lineRule="exact"/>
        <w:ind w:firstLine="627" w:firstLineChars="196"/>
        <w:jc w:val="center"/>
        <w:rPr>
          <w:rStyle w:val="11"/>
          <w:rFonts w:ascii="黑体" w:eastAsia="黑体"/>
          <w:b w:val="0"/>
          <w:color w:val="000000"/>
          <w:sz w:val="32"/>
          <w:szCs w:val="32"/>
        </w:rPr>
      </w:pPr>
    </w:p>
    <w:p w14:paraId="7FB6FA80">
      <w:pPr>
        <w:spacing w:line="520" w:lineRule="exact"/>
        <w:ind w:firstLine="627" w:firstLineChars="196"/>
        <w:jc w:val="center"/>
        <w:rPr>
          <w:rStyle w:val="11"/>
          <w:rFonts w:ascii="黑体" w:eastAsia="黑体"/>
          <w:b w:val="0"/>
          <w:color w:val="000000"/>
          <w:sz w:val="32"/>
          <w:szCs w:val="32"/>
        </w:rPr>
      </w:pPr>
    </w:p>
    <w:p w14:paraId="6E74C61A">
      <w:pPr>
        <w:spacing w:line="520" w:lineRule="exact"/>
        <w:ind w:firstLine="627" w:firstLineChars="196"/>
        <w:jc w:val="center"/>
        <w:rPr>
          <w:rStyle w:val="11"/>
          <w:rFonts w:ascii="黑体" w:eastAsia="黑体"/>
          <w:b w:val="0"/>
          <w:color w:val="000000"/>
          <w:sz w:val="32"/>
          <w:szCs w:val="32"/>
        </w:rPr>
      </w:pPr>
    </w:p>
    <w:p w14:paraId="7C115C1B">
      <w:pPr>
        <w:spacing w:line="520" w:lineRule="exact"/>
        <w:ind w:firstLine="627" w:firstLineChars="196"/>
        <w:jc w:val="center"/>
        <w:rPr>
          <w:rStyle w:val="11"/>
          <w:rFonts w:ascii="黑体" w:eastAsia="黑体"/>
          <w:b w:val="0"/>
          <w:color w:val="000000"/>
          <w:sz w:val="32"/>
          <w:szCs w:val="32"/>
        </w:rPr>
      </w:pPr>
    </w:p>
    <w:p w14:paraId="51E6B8D0">
      <w:pPr>
        <w:spacing w:line="520" w:lineRule="exact"/>
        <w:ind w:firstLine="627" w:firstLineChars="196"/>
        <w:jc w:val="center"/>
        <w:rPr>
          <w:rStyle w:val="11"/>
          <w:rFonts w:ascii="黑体" w:eastAsia="黑体"/>
          <w:b w:val="0"/>
          <w:color w:val="000000"/>
          <w:sz w:val="32"/>
          <w:szCs w:val="32"/>
        </w:rPr>
      </w:pPr>
    </w:p>
    <w:p w14:paraId="10AD9EF1">
      <w:pPr>
        <w:spacing w:line="520" w:lineRule="exact"/>
        <w:ind w:firstLine="627" w:firstLineChars="196"/>
        <w:jc w:val="center"/>
        <w:rPr>
          <w:rStyle w:val="11"/>
          <w:rFonts w:ascii="黑体" w:eastAsia="黑体"/>
          <w:b w:val="0"/>
          <w:color w:val="000000"/>
          <w:sz w:val="32"/>
          <w:szCs w:val="32"/>
        </w:rPr>
      </w:pPr>
    </w:p>
    <w:p w14:paraId="1FC8BA63">
      <w:pPr>
        <w:spacing w:line="520" w:lineRule="exact"/>
        <w:ind w:firstLine="627" w:firstLineChars="196"/>
        <w:jc w:val="center"/>
        <w:rPr>
          <w:rStyle w:val="11"/>
          <w:rFonts w:ascii="黑体" w:eastAsia="黑体"/>
          <w:b w:val="0"/>
          <w:color w:val="000000"/>
          <w:sz w:val="32"/>
          <w:szCs w:val="32"/>
        </w:rPr>
      </w:pPr>
    </w:p>
    <w:p w14:paraId="542AD1A6">
      <w:pPr>
        <w:spacing w:line="520" w:lineRule="exact"/>
        <w:ind w:firstLine="627" w:firstLineChars="196"/>
        <w:jc w:val="center"/>
        <w:rPr>
          <w:rStyle w:val="11"/>
          <w:rFonts w:ascii="黑体" w:eastAsia="黑体"/>
          <w:b w:val="0"/>
          <w:color w:val="000000"/>
          <w:sz w:val="32"/>
          <w:szCs w:val="32"/>
        </w:rPr>
      </w:pPr>
    </w:p>
    <w:p w14:paraId="2A7E640D">
      <w:pPr>
        <w:spacing w:line="520" w:lineRule="exact"/>
        <w:ind w:firstLine="627" w:firstLineChars="196"/>
        <w:jc w:val="center"/>
        <w:rPr>
          <w:rStyle w:val="11"/>
          <w:rFonts w:ascii="黑体" w:eastAsia="黑体"/>
          <w:b w:val="0"/>
          <w:color w:val="000000"/>
          <w:sz w:val="32"/>
          <w:szCs w:val="32"/>
        </w:rPr>
      </w:pPr>
    </w:p>
    <w:p w14:paraId="68EBC936">
      <w:pPr>
        <w:spacing w:line="520" w:lineRule="exact"/>
        <w:ind w:firstLine="627" w:firstLineChars="196"/>
        <w:jc w:val="center"/>
        <w:rPr>
          <w:rStyle w:val="11"/>
          <w:rFonts w:ascii="黑体" w:eastAsia="黑体"/>
          <w:b w:val="0"/>
          <w:color w:val="000000"/>
          <w:sz w:val="32"/>
          <w:szCs w:val="32"/>
        </w:rPr>
      </w:pPr>
    </w:p>
    <w:p w14:paraId="374FF28E">
      <w:pPr>
        <w:spacing w:line="520" w:lineRule="exact"/>
        <w:ind w:firstLine="627" w:firstLineChars="196"/>
        <w:jc w:val="center"/>
        <w:rPr>
          <w:rStyle w:val="11"/>
          <w:rFonts w:ascii="黑体" w:eastAsia="黑体"/>
          <w:b w:val="0"/>
          <w:color w:val="000000"/>
          <w:sz w:val="32"/>
          <w:szCs w:val="32"/>
        </w:rPr>
      </w:pPr>
    </w:p>
    <w:p w14:paraId="4CD98890">
      <w:pPr>
        <w:spacing w:line="520" w:lineRule="exact"/>
        <w:ind w:firstLine="627" w:firstLineChars="196"/>
        <w:jc w:val="center"/>
        <w:rPr>
          <w:rStyle w:val="11"/>
          <w:rFonts w:ascii="黑体" w:eastAsia="黑体"/>
          <w:b w:val="0"/>
          <w:color w:val="000000"/>
          <w:sz w:val="32"/>
          <w:szCs w:val="32"/>
        </w:rPr>
      </w:pPr>
    </w:p>
    <w:p w14:paraId="1C54BD1D">
      <w:pPr>
        <w:spacing w:line="520" w:lineRule="exact"/>
        <w:rPr>
          <w:rStyle w:val="11"/>
          <w:rFonts w:ascii="黑体" w:eastAsia="黑体"/>
          <w:b w:val="0"/>
          <w:color w:val="000000"/>
          <w:sz w:val="32"/>
          <w:szCs w:val="32"/>
        </w:rPr>
      </w:pPr>
    </w:p>
    <w:p w14:paraId="3DE8BE46">
      <w:pPr>
        <w:spacing w:line="520" w:lineRule="exact"/>
        <w:ind w:firstLine="627" w:firstLineChars="196"/>
        <w:jc w:val="center"/>
        <w:rPr>
          <w:rStyle w:val="11"/>
          <w:rFonts w:ascii="黑体" w:eastAsia="黑体"/>
          <w:b w:val="0"/>
          <w:color w:val="000000"/>
          <w:sz w:val="32"/>
          <w:szCs w:val="32"/>
        </w:rPr>
      </w:pPr>
      <w:r>
        <w:rPr>
          <w:rStyle w:val="11"/>
          <w:rFonts w:hint="eastAsia" w:ascii="黑体" w:eastAsia="黑体"/>
          <w:b w:val="0"/>
          <w:color w:val="000000"/>
          <w:sz w:val="32"/>
          <w:szCs w:val="32"/>
        </w:rPr>
        <w:t>目录</w:t>
      </w:r>
    </w:p>
    <w:p w14:paraId="2865FCA8">
      <w:pPr>
        <w:spacing w:line="520" w:lineRule="exact"/>
        <w:rPr>
          <w:rFonts w:eastAsia="黑体"/>
          <w:sz w:val="32"/>
        </w:rPr>
      </w:pPr>
      <w:r>
        <w:rPr>
          <w:rFonts w:hint="eastAsia" w:ascii="黑体" w:eastAsia="黑体"/>
          <w:color w:val="000000"/>
          <w:sz w:val="32"/>
          <w:highlight w:val="white"/>
        </w:rPr>
        <w:t>一、</w:t>
      </w:r>
      <w:r>
        <w:rPr>
          <w:rStyle w:val="11"/>
          <w:rFonts w:hint="eastAsia" w:ascii="黑体" w:eastAsia="黑体"/>
          <w:b w:val="0"/>
          <w:color w:val="000000"/>
          <w:sz w:val="32"/>
          <w:szCs w:val="32"/>
        </w:rPr>
        <w:t>部门概况</w:t>
      </w:r>
    </w:p>
    <w:p w14:paraId="2F9C98A2">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（一）主要职能</w:t>
      </w:r>
    </w:p>
    <w:p w14:paraId="47294C55">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（二）部门机构设置情况</w:t>
      </w:r>
    </w:p>
    <w:p w14:paraId="475D3D0D">
      <w:pPr>
        <w:spacing w:line="520" w:lineRule="exact"/>
        <w:rPr>
          <w:rStyle w:val="11"/>
          <w:rFonts w:ascii="黑体" w:eastAsia="黑体"/>
          <w:b w:val="0"/>
          <w:color w:val="000000"/>
          <w:sz w:val="32"/>
          <w:szCs w:val="32"/>
        </w:rPr>
      </w:pPr>
      <w:r>
        <w:rPr>
          <w:rStyle w:val="11"/>
          <w:rFonts w:hint="eastAsia" w:ascii="黑体" w:eastAsia="黑体"/>
          <w:b w:val="0"/>
          <w:color w:val="000000"/>
          <w:sz w:val="32"/>
          <w:szCs w:val="32"/>
        </w:rPr>
        <w:t>二、</w:t>
      </w:r>
      <w:r>
        <w:rPr>
          <w:rStyle w:val="11"/>
          <w:rFonts w:hint="eastAsia" w:ascii="黑体" w:eastAsia="黑体"/>
          <w:b w:val="0"/>
          <w:color w:val="000000"/>
          <w:sz w:val="32"/>
          <w:szCs w:val="32"/>
          <w:lang w:eastAsia="zh-CN"/>
        </w:rPr>
        <w:t>2026年</w:t>
      </w:r>
      <w:r>
        <w:rPr>
          <w:rStyle w:val="11"/>
          <w:rFonts w:hint="eastAsia" w:ascii="黑体" w:eastAsia="黑体"/>
          <w:b w:val="0"/>
          <w:color w:val="000000"/>
          <w:sz w:val="32"/>
          <w:szCs w:val="32"/>
        </w:rPr>
        <w:t>丽水职业技术学院部门预算安排情况说明</w:t>
      </w:r>
    </w:p>
    <w:p w14:paraId="0B08D2B9">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（一）关于丽水职业技术学院</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收支预算情况的总体说明</w:t>
      </w:r>
    </w:p>
    <w:p w14:paraId="4411FB4B">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（二）关于丽水职业技术学院</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收入预算情况说明</w:t>
      </w:r>
    </w:p>
    <w:p w14:paraId="3F33CC59">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（三）关于丽水职业技术学院</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支出预算情况说明</w:t>
      </w:r>
      <w:r>
        <w:rPr>
          <w:rFonts w:hint="eastAsia" w:ascii="楷体_GB2312" w:hAnsi="楷体_GB2312" w:eastAsia="楷体_GB2312" w:cs="楷体_GB2312"/>
          <w:bCs/>
          <w:sz w:val="32"/>
          <w:szCs w:val="32"/>
        </w:rPr>
        <w:br w:type="textWrapping"/>
      </w:r>
      <w:r>
        <w:rPr>
          <w:rFonts w:hint="eastAsia" w:ascii="楷体_GB2312" w:hAnsi="楷体_GB2312" w:eastAsia="楷体_GB2312" w:cs="楷体_GB2312"/>
          <w:bCs/>
          <w:sz w:val="32"/>
          <w:szCs w:val="32"/>
        </w:rPr>
        <w:t>（四）关于丽水职业技术学院</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财政拨款收支预算情况的总体说明</w:t>
      </w:r>
    </w:p>
    <w:p w14:paraId="025ABC8F">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（五）关于丽水职业技术学院</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一般公共预算拨款情况说明</w:t>
      </w:r>
    </w:p>
    <w:p w14:paraId="6C3EC3D2">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（六）关于丽水职业技术学院</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一般公共预算基本支出情况说明</w:t>
      </w:r>
    </w:p>
    <w:p w14:paraId="00DF8C08">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（七）关于丽水职业技术学院</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政府性基金预算支出情况说明</w:t>
      </w:r>
    </w:p>
    <w:p w14:paraId="7D8494AB">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（八）关于丽水职业技术学院</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国有资本经营预算支出情况说明</w:t>
      </w:r>
    </w:p>
    <w:p w14:paraId="5405D57C">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（九）关于丽水职业技术学院</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一般公共预算“三公”经费预算情况说明</w:t>
      </w:r>
    </w:p>
    <w:p w14:paraId="55102E91">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（十）其他重要事项的情况说明</w:t>
      </w:r>
    </w:p>
    <w:p w14:paraId="34BA9739">
      <w:pPr>
        <w:pStyle w:val="16"/>
        <w:spacing w:line="520" w:lineRule="exact"/>
        <w:rPr>
          <w:rStyle w:val="11"/>
          <w:rFonts w:ascii="黑体" w:hAnsi="Calibri" w:eastAsia="黑体"/>
          <w:b w:val="0"/>
          <w:color w:val="000000"/>
          <w:kern w:val="2"/>
          <w:sz w:val="32"/>
          <w:szCs w:val="32"/>
        </w:rPr>
      </w:pPr>
      <w:r>
        <w:rPr>
          <w:rStyle w:val="11"/>
          <w:rFonts w:hint="eastAsia" w:ascii="黑体" w:hAnsi="Calibri" w:eastAsia="黑体"/>
          <w:b w:val="0"/>
          <w:color w:val="000000"/>
          <w:kern w:val="2"/>
          <w:sz w:val="32"/>
          <w:szCs w:val="32"/>
        </w:rPr>
        <w:t>三、名词解释</w:t>
      </w:r>
    </w:p>
    <w:p w14:paraId="2D0C6889">
      <w:pPr>
        <w:spacing w:line="520" w:lineRule="exact"/>
        <w:rPr>
          <w:rStyle w:val="11"/>
          <w:rFonts w:ascii="黑体" w:eastAsia="黑体"/>
          <w:b w:val="0"/>
          <w:color w:val="000000"/>
          <w:sz w:val="32"/>
          <w:szCs w:val="32"/>
        </w:rPr>
      </w:pPr>
      <w:r>
        <w:rPr>
          <w:rStyle w:val="11"/>
          <w:rFonts w:hint="eastAsia" w:ascii="黑体" w:eastAsia="黑体"/>
          <w:b w:val="0"/>
          <w:color w:val="000000"/>
          <w:sz w:val="32"/>
          <w:szCs w:val="32"/>
        </w:rPr>
        <w:t>四、</w:t>
      </w:r>
      <w:r>
        <w:rPr>
          <w:rStyle w:val="11"/>
          <w:rFonts w:hint="eastAsia" w:ascii="黑体" w:eastAsia="黑体"/>
          <w:b w:val="0"/>
          <w:color w:val="000000"/>
          <w:sz w:val="32"/>
          <w:szCs w:val="32"/>
          <w:lang w:eastAsia="zh-CN"/>
        </w:rPr>
        <w:t>2026年</w:t>
      </w:r>
      <w:r>
        <w:rPr>
          <w:rStyle w:val="11"/>
          <w:rFonts w:hint="eastAsia" w:ascii="黑体" w:eastAsia="黑体"/>
          <w:b w:val="0"/>
          <w:color w:val="000000"/>
          <w:sz w:val="32"/>
          <w:szCs w:val="32"/>
        </w:rPr>
        <w:t>丽水职业技术学院部门预算表</w:t>
      </w:r>
    </w:p>
    <w:p w14:paraId="0437BA77">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（一）</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部门收支预算总表</w:t>
      </w:r>
    </w:p>
    <w:p w14:paraId="0C58E82F">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（二）</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部门收入预算总表</w:t>
      </w:r>
    </w:p>
    <w:p w14:paraId="0693C4E9">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（三）</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部门支出预算总表</w:t>
      </w:r>
    </w:p>
    <w:p w14:paraId="02FF1C26">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（四）</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部门财政拨款收支预算总表</w:t>
      </w:r>
    </w:p>
    <w:p w14:paraId="6FC469D2">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（五）</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部门一般公共预算支出表</w:t>
      </w:r>
    </w:p>
    <w:p w14:paraId="704E5A9E">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（六）</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部门一般公共预算基本支出表</w:t>
      </w:r>
    </w:p>
    <w:p w14:paraId="280346F2">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（七）</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部门一般公共预算“三公”经费支出表</w:t>
      </w:r>
    </w:p>
    <w:p w14:paraId="0E9476E1">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（八）</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部门政府性基金预算支出表</w:t>
      </w:r>
    </w:p>
    <w:p w14:paraId="5169C514">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（九）</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部门国有资本经营预算支出表</w:t>
      </w:r>
    </w:p>
    <w:p w14:paraId="63360AB6">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（十）</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部门项目支出预算表</w:t>
      </w:r>
    </w:p>
    <w:p w14:paraId="1D9E8C00">
      <w:pPr>
        <w:autoSpaceDE w:val="0"/>
        <w:autoSpaceDN w:val="0"/>
        <w:adjustRightInd w:val="0"/>
        <w:ind w:left="420" w:leftChars="200"/>
        <w:jc w:val="lef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（十一）</w:t>
      </w:r>
      <w:r>
        <w:rPr>
          <w:rFonts w:hint="eastAsia" w:ascii="楷体_GB2312" w:hAnsi="楷体_GB2312" w:eastAsia="楷体_GB2312" w:cs="楷体_GB2312"/>
          <w:bCs/>
          <w:sz w:val="32"/>
          <w:szCs w:val="32"/>
          <w:lang w:eastAsia="zh-CN"/>
        </w:rPr>
        <w:t>2026年</w:t>
      </w:r>
      <w:r>
        <w:rPr>
          <w:rFonts w:hint="eastAsia" w:ascii="楷体_GB2312" w:hAnsi="楷体_GB2312" w:eastAsia="楷体_GB2312" w:cs="楷体_GB2312"/>
          <w:bCs/>
          <w:sz w:val="32"/>
          <w:szCs w:val="32"/>
        </w:rPr>
        <w:t>部门项目支出绩效表</w:t>
      </w:r>
    </w:p>
    <w:p w14:paraId="5279C151">
      <w:pPr>
        <w:spacing w:line="520" w:lineRule="exact"/>
        <w:ind w:firstLine="627" w:firstLineChars="196"/>
        <w:rPr>
          <w:rStyle w:val="11"/>
          <w:rFonts w:ascii="黑体" w:eastAsia="黑体"/>
          <w:b w:val="0"/>
          <w:color w:val="000000"/>
          <w:sz w:val="32"/>
          <w:szCs w:val="32"/>
        </w:rPr>
      </w:pPr>
    </w:p>
    <w:p w14:paraId="58AA3B46">
      <w:pPr>
        <w:pStyle w:val="2"/>
        <w:rPr>
          <w:rStyle w:val="11"/>
          <w:rFonts w:hint="default" w:ascii="黑体" w:eastAsia="黑体"/>
          <w:b w:val="0"/>
          <w:sz w:val="32"/>
          <w:szCs w:val="32"/>
        </w:rPr>
      </w:pPr>
    </w:p>
    <w:p w14:paraId="2D775952">
      <w:pPr>
        <w:pStyle w:val="2"/>
        <w:rPr>
          <w:rStyle w:val="11"/>
          <w:rFonts w:hint="default" w:ascii="黑体" w:eastAsia="黑体"/>
          <w:b w:val="0"/>
          <w:sz w:val="32"/>
          <w:szCs w:val="32"/>
        </w:rPr>
      </w:pPr>
    </w:p>
    <w:p w14:paraId="6B938C23">
      <w:pPr>
        <w:pStyle w:val="2"/>
        <w:rPr>
          <w:rStyle w:val="11"/>
          <w:rFonts w:hint="default" w:ascii="黑体" w:eastAsia="黑体"/>
          <w:b w:val="0"/>
          <w:sz w:val="32"/>
          <w:szCs w:val="32"/>
        </w:rPr>
      </w:pPr>
    </w:p>
    <w:p w14:paraId="73E36A9F">
      <w:pPr>
        <w:pStyle w:val="2"/>
        <w:rPr>
          <w:rStyle w:val="11"/>
          <w:rFonts w:hint="default" w:ascii="黑体" w:eastAsia="黑体"/>
          <w:b w:val="0"/>
          <w:sz w:val="32"/>
          <w:szCs w:val="32"/>
        </w:rPr>
      </w:pPr>
    </w:p>
    <w:p w14:paraId="2CF1B120">
      <w:pPr>
        <w:pStyle w:val="2"/>
        <w:rPr>
          <w:rStyle w:val="11"/>
          <w:rFonts w:hint="default" w:ascii="黑体" w:eastAsia="黑体"/>
          <w:b w:val="0"/>
          <w:sz w:val="32"/>
          <w:szCs w:val="32"/>
        </w:rPr>
      </w:pPr>
    </w:p>
    <w:p w14:paraId="75DA2EC3">
      <w:pPr>
        <w:pStyle w:val="2"/>
        <w:rPr>
          <w:rStyle w:val="11"/>
          <w:rFonts w:hint="default" w:ascii="黑体" w:eastAsia="黑体"/>
          <w:b w:val="0"/>
          <w:sz w:val="32"/>
          <w:szCs w:val="32"/>
        </w:rPr>
      </w:pPr>
    </w:p>
    <w:p w14:paraId="2185E6B6">
      <w:pPr>
        <w:pStyle w:val="2"/>
        <w:rPr>
          <w:rStyle w:val="11"/>
          <w:rFonts w:hint="default" w:ascii="黑体" w:eastAsia="黑体"/>
          <w:b w:val="0"/>
          <w:sz w:val="32"/>
          <w:szCs w:val="32"/>
        </w:rPr>
      </w:pPr>
    </w:p>
    <w:p w14:paraId="5B13A6FF">
      <w:pPr>
        <w:pStyle w:val="2"/>
        <w:tabs>
          <w:tab w:val="left" w:pos="2608"/>
        </w:tabs>
        <w:rPr>
          <w:rStyle w:val="11"/>
          <w:rFonts w:hint="default" w:ascii="黑体" w:eastAsia="黑体"/>
          <w:b w:val="0"/>
          <w:sz w:val="32"/>
          <w:szCs w:val="32"/>
        </w:rPr>
      </w:pPr>
      <w:r>
        <w:rPr>
          <w:rStyle w:val="11"/>
          <w:rFonts w:ascii="黑体" w:eastAsia="黑体"/>
          <w:b w:val="0"/>
          <w:sz w:val="32"/>
          <w:szCs w:val="32"/>
        </w:rPr>
        <w:tab/>
      </w:r>
    </w:p>
    <w:p w14:paraId="4DE13EA7">
      <w:pPr>
        <w:pStyle w:val="2"/>
        <w:tabs>
          <w:tab w:val="left" w:pos="2608"/>
        </w:tabs>
        <w:rPr>
          <w:rStyle w:val="11"/>
          <w:rFonts w:hint="default" w:ascii="黑体" w:eastAsia="黑体"/>
          <w:b w:val="0"/>
          <w:sz w:val="32"/>
          <w:szCs w:val="32"/>
        </w:rPr>
      </w:pPr>
    </w:p>
    <w:p w14:paraId="748013FB">
      <w:pPr>
        <w:spacing w:line="520" w:lineRule="exact"/>
        <w:ind w:firstLine="627" w:firstLineChars="196"/>
        <w:rPr>
          <w:rStyle w:val="11"/>
          <w:rFonts w:ascii="黑体" w:eastAsia="黑体"/>
          <w:b w:val="0"/>
          <w:color w:val="000000"/>
          <w:sz w:val="32"/>
          <w:szCs w:val="32"/>
        </w:rPr>
      </w:pPr>
      <w:r>
        <w:rPr>
          <w:rStyle w:val="11"/>
          <w:rFonts w:hint="eastAsia" w:ascii="黑体" w:eastAsia="黑体"/>
          <w:b w:val="0"/>
          <w:color w:val="000000"/>
          <w:sz w:val="32"/>
          <w:szCs w:val="32"/>
        </w:rPr>
        <w:t>一、部门概况</w:t>
      </w:r>
    </w:p>
    <w:p w14:paraId="3B01B50F">
      <w:pPr>
        <w:spacing w:line="520" w:lineRule="exact"/>
        <w:ind w:firstLine="627" w:firstLineChars="196"/>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（一）主要职能</w:t>
      </w:r>
    </w:p>
    <w:p w14:paraId="1CA4A9FA">
      <w:pPr>
        <w:spacing w:line="520" w:lineRule="exact"/>
        <w:ind w:firstLine="480" w:firstLineChars="150"/>
        <w:rPr>
          <w:rFonts w:hint="eastAsia" w:ascii="仿宋_GB2312" w:eastAsia="仿宋_GB2312"/>
          <w:bCs/>
          <w:color w:val="000000"/>
          <w:sz w:val="32"/>
          <w:szCs w:val="32"/>
        </w:rPr>
      </w:pPr>
      <w:r>
        <w:rPr>
          <w:rFonts w:hint="eastAsia" w:ascii="仿宋_GB2312" w:eastAsia="仿宋_GB2312"/>
          <w:bCs/>
          <w:color w:val="000000"/>
          <w:sz w:val="32"/>
          <w:szCs w:val="32"/>
        </w:rPr>
        <w:t>1.根据社会需求、办学条件和国家核定的办学规模，自主设置和调整专业及相应的人才培养方案，自主制定招生章程，实施招生计划；</w:t>
      </w:r>
    </w:p>
    <w:p w14:paraId="3859EE21">
      <w:pPr>
        <w:spacing w:line="520" w:lineRule="exact"/>
        <w:ind w:firstLine="480" w:firstLineChars="150"/>
        <w:rPr>
          <w:rFonts w:hint="eastAsia" w:ascii="仿宋_GB2312" w:eastAsia="仿宋_GB2312"/>
          <w:bCs/>
          <w:color w:val="000000"/>
          <w:sz w:val="32"/>
          <w:szCs w:val="32"/>
        </w:rPr>
      </w:pPr>
      <w:r>
        <w:rPr>
          <w:rFonts w:hint="eastAsia" w:ascii="仿宋_GB2312" w:eastAsia="仿宋_GB2312"/>
          <w:bCs/>
          <w:color w:val="000000"/>
          <w:sz w:val="32"/>
          <w:szCs w:val="32"/>
        </w:rPr>
        <w:t>2.根据人才培养需要，自主制定教学计划、选编教材、组织实施教学活动，并依据教学计划和课程标准要求检查教学活动，考核学生成绩；</w:t>
      </w:r>
    </w:p>
    <w:p w14:paraId="566221F0">
      <w:pPr>
        <w:spacing w:line="520" w:lineRule="exact"/>
        <w:ind w:firstLine="480" w:firstLineChars="150"/>
        <w:rPr>
          <w:rFonts w:hint="eastAsia" w:ascii="仿宋_GB2312" w:eastAsia="仿宋_GB2312"/>
          <w:bCs/>
          <w:color w:val="000000"/>
          <w:sz w:val="32"/>
          <w:szCs w:val="32"/>
        </w:rPr>
      </w:pPr>
      <w:r>
        <w:rPr>
          <w:rFonts w:hint="eastAsia" w:ascii="仿宋_GB2312" w:eastAsia="仿宋_GB2312"/>
          <w:bCs/>
          <w:color w:val="000000"/>
          <w:sz w:val="32"/>
          <w:szCs w:val="32"/>
        </w:rPr>
        <w:t>3.根据自身条件，自主开展科学研究、技术开发、产学研合作、社会服务和文化传承创新活动；</w:t>
      </w:r>
    </w:p>
    <w:p w14:paraId="60B143D6">
      <w:pPr>
        <w:spacing w:line="520" w:lineRule="exact"/>
        <w:ind w:firstLine="480" w:firstLineChars="150"/>
        <w:rPr>
          <w:rFonts w:hint="eastAsia" w:ascii="仿宋_GB2312" w:eastAsia="仿宋_GB2312"/>
          <w:bCs/>
          <w:color w:val="000000"/>
          <w:sz w:val="32"/>
          <w:szCs w:val="32"/>
        </w:rPr>
      </w:pPr>
      <w:r>
        <w:rPr>
          <w:rFonts w:hint="eastAsia" w:ascii="仿宋_GB2312" w:eastAsia="仿宋_GB2312"/>
          <w:bCs/>
          <w:color w:val="000000"/>
          <w:sz w:val="32"/>
          <w:szCs w:val="32"/>
        </w:rPr>
        <w:t>4.按照国家有关规定，自主与境外高等学校、科研机构、企业等各类合法组织之间，开展人才培养、科学研究、技术开发和文化交流等方面的合作活动；</w:t>
      </w:r>
    </w:p>
    <w:p w14:paraId="06360813">
      <w:pPr>
        <w:spacing w:line="520" w:lineRule="exact"/>
        <w:ind w:firstLine="480" w:firstLineChars="150"/>
        <w:rPr>
          <w:rFonts w:hint="eastAsia" w:ascii="仿宋_GB2312" w:eastAsia="仿宋_GB2312"/>
          <w:bCs/>
          <w:color w:val="000000"/>
          <w:sz w:val="32"/>
          <w:szCs w:val="32"/>
        </w:rPr>
      </w:pPr>
      <w:r>
        <w:rPr>
          <w:rFonts w:hint="eastAsia" w:ascii="仿宋_GB2312" w:eastAsia="仿宋_GB2312"/>
          <w:bCs/>
          <w:color w:val="000000"/>
          <w:sz w:val="32"/>
          <w:szCs w:val="32"/>
        </w:rPr>
        <w:t>5.根据实际需要和精简高效原则，自主确定教学、科学研究、行政职能部门等内部组织机构的设置和人员配备。按照国家有关规定，自主评聘教师和其他专业技术人员的职务，调整津贴及工资分配；</w:t>
      </w:r>
    </w:p>
    <w:p w14:paraId="1ED9A4EE">
      <w:pPr>
        <w:spacing w:line="520" w:lineRule="exact"/>
        <w:ind w:firstLine="480" w:firstLineChars="150"/>
        <w:rPr>
          <w:rFonts w:hint="eastAsia" w:ascii="仿宋_GB2312" w:eastAsia="仿宋_GB2312"/>
          <w:bCs/>
          <w:color w:val="000000"/>
          <w:sz w:val="32"/>
          <w:szCs w:val="32"/>
        </w:rPr>
      </w:pPr>
      <w:r>
        <w:rPr>
          <w:rFonts w:hint="eastAsia" w:ascii="仿宋_GB2312" w:eastAsia="仿宋_GB2312"/>
          <w:bCs/>
          <w:color w:val="000000"/>
          <w:sz w:val="32"/>
          <w:szCs w:val="32"/>
        </w:rPr>
        <w:t>6.自主开展民主管理，管理学校内部事务；</w:t>
      </w:r>
    </w:p>
    <w:p w14:paraId="242133D9">
      <w:pPr>
        <w:spacing w:line="520" w:lineRule="exact"/>
        <w:ind w:firstLine="480" w:firstLineChars="150"/>
        <w:rPr>
          <w:rFonts w:hint="eastAsia" w:ascii="仿宋_GB2312" w:eastAsia="仿宋_GB2312"/>
          <w:bCs/>
          <w:color w:val="000000"/>
          <w:sz w:val="32"/>
          <w:szCs w:val="32"/>
        </w:rPr>
      </w:pPr>
      <w:r>
        <w:rPr>
          <w:rFonts w:hint="eastAsia" w:ascii="仿宋_GB2312" w:eastAsia="仿宋_GB2312"/>
          <w:bCs/>
          <w:color w:val="000000"/>
          <w:sz w:val="32"/>
          <w:szCs w:val="32"/>
        </w:rPr>
        <w:t>7.依法收取学费及有关费用。依法自主管理和使用举办者提供的财产、国家及地方财政性资助、受捐赠财产以及其他由学校合法所有的资产；</w:t>
      </w:r>
    </w:p>
    <w:p w14:paraId="3CDEC8B4">
      <w:pPr>
        <w:spacing w:line="520" w:lineRule="exact"/>
        <w:ind w:firstLine="480" w:firstLineChars="150"/>
        <w:rPr>
          <w:rFonts w:hint="eastAsia" w:ascii="仿宋_GB2312" w:eastAsia="仿宋_GB2312"/>
          <w:bCs/>
          <w:color w:val="000000"/>
          <w:sz w:val="32"/>
          <w:szCs w:val="32"/>
        </w:rPr>
      </w:pPr>
      <w:r>
        <w:rPr>
          <w:rFonts w:hint="eastAsia" w:ascii="仿宋_GB2312" w:eastAsia="仿宋_GB2312"/>
          <w:bCs/>
          <w:color w:val="000000"/>
          <w:sz w:val="32"/>
          <w:szCs w:val="32"/>
        </w:rPr>
        <w:t>8.法律、法规和规章规定的其他事项。</w:t>
      </w:r>
    </w:p>
    <w:p w14:paraId="78EE6B99">
      <w:pPr>
        <w:spacing w:line="520" w:lineRule="exact"/>
        <w:ind w:firstLine="627" w:firstLineChars="196"/>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（二）部门机构设置情况</w:t>
      </w:r>
    </w:p>
    <w:p w14:paraId="4DC8AEC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bCs/>
          <w:sz w:val="32"/>
          <w:szCs w:val="32"/>
        </w:rPr>
      </w:pPr>
      <w:r>
        <w:rPr>
          <w:rFonts w:hint="eastAsia" w:ascii="仿宋_GB2312" w:eastAsia="仿宋_GB2312"/>
          <w:bCs/>
          <w:sz w:val="32"/>
          <w:szCs w:val="32"/>
        </w:rPr>
        <w:t>从预算单位构成看，丽水职业技术学院预算包括：丽水职业技术学院本级预算。</w:t>
      </w:r>
    </w:p>
    <w:p w14:paraId="1CF91DC0">
      <w:pPr>
        <w:spacing w:line="520" w:lineRule="exact"/>
        <w:ind w:firstLine="640" w:firstLineChars="200"/>
        <w:rPr>
          <w:rFonts w:ascii="楷体_GB2312" w:hAnsi="楷体_GB2312" w:eastAsia="楷体_GB2312" w:cs="楷体_GB2312"/>
          <w:color w:val="000000"/>
          <w:sz w:val="32"/>
          <w:szCs w:val="32"/>
        </w:rPr>
      </w:pPr>
      <w:r>
        <w:rPr>
          <w:rStyle w:val="11"/>
          <w:rFonts w:hint="eastAsia" w:ascii="黑体" w:eastAsia="黑体"/>
          <w:b w:val="0"/>
          <w:color w:val="000000"/>
          <w:sz w:val="32"/>
          <w:szCs w:val="32"/>
        </w:rPr>
        <w:t>二、</w:t>
      </w:r>
      <w:r>
        <w:rPr>
          <w:rStyle w:val="11"/>
          <w:rFonts w:hint="eastAsia" w:ascii="黑体" w:eastAsia="黑体"/>
          <w:b w:val="0"/>
          <w:color w:val="000000"/>
          <w:sz w:val="32"/>
          <w:szCs w:val="32"/>
          <w:lang w:eastAsia="zh-CN"/>
        </w:rPr>
        <w:t>2026年</w:t>
      </w:r>
      <w:r>
        <w:rPr>
          <w:rStyle w:val="11"/>
          <w:rFonts w:hint="eastAsia" w:ascii="黑体" w:eastAsia="黑体"/>
          <w:b w:val="0"/>
          <w:color w:val="000000"/>
          <w:sz w:val="32"/>
          <w:szCs w:val="32"/>
        </w:rPr>
        <w:t>丽水职业技术学院部门预算安排情况说明</w:t>
      </w:r>
      <w:r>
        <w:rPr>
          <w:rFonts w:hint="eastAsia"/>
          <w:color w:val="000000"/>
          <w:sz w:val="32"/>
          <w:szCs w:val="32"/>
        </w:rPr>
        <w:br w:type="textWrapping"/>
      </w:r>
      <w:r>
        <w:rPr>
          <w:rFonts w:hint="eastAsia" w:ascii="仿宋_GB2312" w:eastAsia="仿宋_GB2312"/>
          <w:b/>
          <w:bCs/>
          <w:color w:val="000000"/>
          <w:sz w:val="32"/>
          <w:szCs w:val="32"/>
        </w:rPr>
        <w:t>　　</w:t>
      </w:r>
      <w:r>
        <w:rPr>
          <w:rFonts w:hint="eastAsia" w:ascii="楷体_GB2312" w:hAnsi="楷体_GB2312" w:eastAsia="楷体_GB2312" w:cs="楷体_GB2312"/>
          <w:color w:val="000000"/>
          <w:sz w:val="32"/>
          <w:szCs w:val="32"/>
        </w:rPr>
        <w:t>（一）关于丽水职业技术学院</w:t>
      </w:r>
      <w:r>
        <w:rPr>
          <w:rStyle w:val="11"/>
          <w:rFonts w:hint="eastAsia" w:ascii="楷体_GB2312" w:hAnsi="楷体_GB2312" w:eastAsia="楷体_GB2312" w:cs="楷体_GB2312"/>
          <w:b w:val="0"/>
          <w:bCs w:val="0"/>
          <w:color w:val="000000"/>
          <w:sz w:val="32"/>
          <w:szCs w:val="32"/>
          <w:lang w:eastAsia="zh-CN"/>
        </w:rPr>
        <w:t>2026年</w:t>
      </w:r>
      <w:r>
        <w:rPr>
          <w:rStyle w:val="11"/>
          <w:rFonts w:hint="eastAsia" w:ascii="楷体_GB2312" w:hAnsi="楷体_GB2312" w:eastAsia="楷体_GB2312" w:cs="楷体_GB2312"/>
          <w:b w:val="0"/>
          <w:bCs w:val="0"/>
          <w:color w:val="000000"/>
          <w:sz w:val="32"/>
          <w:szCs w:val="32"/>
        </w:rPr>
        <w:t>收支预算情况的总体说明</w:t>
      </w:r>
    </w:p>
    <w:p w14:paraId="2A33FBB1">
      <w:pPr>
        <w:spacing w:line="520" w:lineRule="exact"/>
        <w:ind w:firstLine="480" w:firstLineChars="150"/>
        <w:rPr>
          <w:rFonts w:ascii="楷体_GB2312" w:hAnsi="楷体_GB2312" w:eastAsia="楷体_GB2312" w:cs="楷体_GB2312"/>
          <w:b/>
          <w:color w:val="FF0000"/>
          <w:sz w:val="32"/>
          <w:szCs w:val="32"/>
        </w:rPr>
      </w:pPr>
      <w:r>
        <w:rPr>
          <w:rFonts w:hint="eastAsia" w:ascii="仿宋_GB2312" w:eastAsia="仿宋_GB2312"/>
          <w:bCs/>
          <w:color w:val="000000"/>
          <w:sz w:val="32"/>
          <w:szCs w:val="32"/>
        </w:rPr>
        <w:t xml:space="preserve"> 按照</w:t>
      </w:r>
      <w:r>
        <w:rPr>
          <w:rFonts w:hint="eastAsia" w:ascii="仿宋_GB2312" w:eastAsia="仿宋_GB2312"/>
          <w:bCs/>
          <w:sz w:val="32"/>
          <w:szCs w:val="32"/>
        </w:rPr>
        <w:t>综合预算的原则，丽水职业技术学院</w:t>
      </w:r>
      <w:r>
        <w:rPr>
          <w:rFonts w:hint="eastAsia" w:ascii="仿宋_GB2312" w:eastAsia="仿宋_GB2312"/>
          <w:color w:val="000000"/>
          <w:sz w:val="32"/>
          <w:szCs w:val="32"/>
        </w:rPr>
        <w:t>所有收入和支出均纳入部门预算管理。收入包括：一般公共预算收入、政府性基金预算收入、财政专户管理资金收入、事业单位经营收入；支出包括：教育支出、科学技术支出、城乡社区支出。丽水职业技术学院</w:t>
      </w:r>
      <w:r>
        <w:rPr>
          <w:rFonts w:hint="eastAsia" w:ascii="仿宋_GB2312" w:eastAsia="仿宋_GB2312"/>
          <w:color w:val="000000"/>
          <w:sz w:val="32"/>
          <w:szCs w:val="32"/>
          <w:lang w:eastAsia="zh-CN"/>
        </w:rPr>
        <w:t>2026年</w:t>
      </w:r>
      <w:r>
        <w:rPr>
          <w:rFonts w:hint="eastAsia" w:ascii="仿宋_GB2312" w:eastAsia="仿宋_GB2312"/>
          <w:color w:val="000000"/>
          <w:sz w:val="32"/>
          <w:szCs w:val="32"/>
        </w:rPr>
        <w:t>收支总预算34485.53万元。</w:t>
      </w:r>
    </w:p>
    <w:p w14:paraId="0B1D0C31">
      <w:pPr>
        <w:spacing w:line="520" w:lineRule="exact"/>
        <w:ind w:firstLine="640" w:firstLineChars="200"/>
        <w:rPr>
          <w:rFonts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（二）关于丽水职业技术学院</w:t>
      </w:r>
      <w:r>
        <w:rPr>
          <w:rFonts w:hint="eastAsia" w:ascii="楷体_GB2312" w:hAnsi="楷体_GB2312" w:eastAsia="楷体_GB2312" w:cs="楷体_GB2312"/>
          <w:bCs/>
          <w:color w:val="000000"/>
          <w:sz w:val="32"/>
          <w:szCs w:val="32"/>
          <w:lang w:eastAsia="zh-CN"/>
        </w:rPr>
        <w:t>2026年</w:t>
      </w:r>
      <w:r>
        <w:rPr>
          <w:rFonts w:hint="eastAsia" w:ascii="楷体_GB2312" w:hAnsi="楷体_GB2312" w:eastAsia="楷体_GB2312" w:cs="楷体_GB2312"/>
          <w:bCs/>
          <w:color w:val="000000"/>
          <w:sz w:val="32"/>
          <w:szCs w:val="32"/>
        </w:rPr>
        <w:t>收入预算情况说明</w:t>
      </w:r>
    </w:p>
    <w:p w14:paraId="711C54E2">
      <w:pPr>
        <w:spacing w:line="520" w:lineRule="exact"/>
        <w:ind w:firstLine="642"/>
        <w:rPr>
          <w:rFonts w:hint="eastAsia" w:ascii="仿宋_GB2312" w:hAnsi="仿宋_GB2312" w:eastAsia="仿宋_GB2312" w:cs="仿宋_GB2312"/>
          <w:color w:val="auto"/>
          <w:sz w:val="32"/>
          <w:szCs w:val="32"/>
          <w:highlight w:val="none"/>
        </w:rPr>
      </w:pPr>
      <w:r>
        <w:rPr>
          <w:rFonts w:hint="eastAsia" w:ascii="仿宋_GB2312" w:eastAsia="仿宋_GB2312"/>
          <w:color w:val="000000"/>
          <w:sz w:val="32"/>
          <w:szCs w:val="32"/>
        </w:rPr>
        <w:t>丽水职业技术学院</w:t>
      </w:r>
      <w:r>
        <w:rPr>
          <w:rFonts w:hint="eastAsia" w:ascii="仿宋_GB2312" w:eastAsia="仿宋_GB2312"/>
          <w:color w:val="000000"/>
          <w:sz w:val="32"/>
          <w:szCs w:val="32"/>
          <w:lang w:eastAsia="zh-CN"/>
        </w:rPr>
        <w:t>2026年</w:t>
      </w:r>
      <w:r>
        <w:rPr>
          <w:rFonts w:hint="eastAsia" w:ascii="仿宋_GB2312" w:eastAsia="仿宋_GB2312"/>
          <w:color w:val="000000"/>
          <w:sz w:val="32"/>
          <w:szCs w:val="32"/>
        </w:rPr>
        <w:t>收入预算34485.53万元，比上年执行数减少4705.28万元，下降</w:t>
      </w:r>
      <w:r>
        <w:rPr>
          <w:rFonts w:hint="eastAsia" w:ascii="仿宋_GB2312" w:eastAsia="仿宋_GB2312"/>
          <w:color w:val="000000"/>
          <w:sz w:val="32"/>
          <w:szCs w:val="32"/>
          <w:lang w:val="en-US" w:eastAsia="zh-CN"/>
        </w:rPr>
        <w:t>12.01</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主要原因是</w:t>
      </w:r>
      <w:r>
        <w:rPr>
          <w:rFonts w:hint="eastAsia" w:ascii="仿宋_GB2312" w:hAnsi="仿宋_GB2312" w:eastAsia="仿宋_GB2312" w:cs="仿宋_GB2312"/>
          <w:color w:val="auto"/>
          <w:sz w:val="32"/>
          <w:szCs w:val="32"/>
          <w:highlight w:val="none"/>
        </w:rPr>
        <w:t>本年</w:t>
      </w:r>
      <w:r>
        <w:rPr>
          <w:rFonts w:hint="eastAsia" w:ascii="仿宋_GB2312" w:hAnsi="仿宋_GB2312" w:eastAsia="仿宋_GB2312" w:cs="仿宋_GB2312"/>
          <w:color w:val="auto"/>
          <w:sz w:val="32"/>
          <w:szCs w:val="32"/>
          <w:highlight w:val="none"/>
          <w:lang w:val="en-US" w:eastAsia="zh-CN"/>
        </w:rPr>
        <w:t>政府性基金等预算</w:t>
      </w:r>
      <w:r>
        <w:rPr>
          <w:rFonts w:hint="eastAsia" w:ascii="仿宋_GB2312" w:hAnsi="仿宋_GB2312" w:eastAsia="仿宋_GB2312" w:cs="仿宋_GB2312"/>
          <w:color w:val="auto"/>
          <w:sz w:val="32"/>
          <w:szCs w:val="32"/>
          <w:highlight w:val="none"/>
        </w:rPr>
        <w:t>安排略微下降。</w:t>
      </w:r>
    </w:p>
    <w:p w14:paraId="6CE33565">
      <w:pPr>
        <w:spacing w:line="520" w:lineRule="exact"/>
        <w:ind w:firstLine="480" w:firstLineChars="150"/>
        <w:rPr>
          <w:rFonts w:hint="eastAsia" w:ascii="仿宋_GB2312" w:eastAsia="仿宋_GB2312"/>
          <w:color w:val="000000"/>
          <w:sz w:val="32"/>
          <w:szCs w:val="32"/>
        </w:rPr>
      </w:pPr>
      <w:r>
        <w:rPr>
          <w:rFonts w:hint="eastAsia" w:ascii="仿宋_GB2312" w:eastAsia="仿宋_GB2312"/>
          <w:color w:val="000000"/>
          <w:sz w:val="32"/>
          <w:szCs w:val="32"/>
        </w:rPr>
        <w:t>其中：一般公共预算拨款收入15108.</w:t>
      </w:r>
      <w:r>
        <w:rPr>
          <w:rFonts w:hint="eastAsia" w:ascii="仿宋_GB2312" w:eastAsia="仿宋_GB2312"/>
          <w:color w:val="000000"/>
          <w:sz w:val="32"/>
          <w:szCs w:val="32"/>
          <w:lang w:val="en-US" w:eastAsia="zh-CN"/>
        </w:rPr>
        <w:t>80</w:t>
      </w:r>
      <w:r>
        <w:rPr>
          <w:rFonts w:hint="eastAsia" w:ascii="仿宋_GB2312" w:eastAsia="仿宋_GB2312"/>
          <w:color w:val="000000"/>
          <w:sz w:val="32"/>
          <w:szCs w:val="32"/>
        </w:rPr>
        <w:t>万元（上年结转112.2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万元），占43.8</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%；政府性基金收入765.03万元（上年结转0.00万元），占2.2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%；专户资金12900.00万元，占37.4%；事业单位经营收入5711.71万元，占16.</w:t>
      </w:r>
      <w:r>
        <w:rPr>
          <w:rFonts w:hint="eastAsia" w:ascii="仿宋_GB2312" w:eastAsia="仿宋_GB2312"/>
          <w:color w:val="000000"/>
          <w:sz w:val="32"/>
          <w:szCs w:val="32"/>
          <w:lang w:val="en-US" w:eastAsia="zh-CN"/>
        </w:rPr>
        <w:t>56</w:t>
      </w:r>
      <w:r>
        <w:rPr>
          <w:rFonts w:hint="eastAsia" w:ascii="仿宋_GB2312" w:eastAsia="仿宋_GB2312"/>
          <w:color w:val="000000"/>
          <w:sz w:val="32"/>
          <w:szCs w:val="32"/>
        </w:rPr>
        <w:t>%；</w:t>
      </w:r>
      <w:r>
        <w:rPr>
          <w:rFonts w:hint="eastAsia" w:ascii="仿宋_GB2312" w:eastAsia="仿宋_GB2312"/>
          <w:color w:val="000000"/>
          <w:sz w:val="32"/>
          <w:szCs w:val="32"/>
        </w:rPr>
        <w:br w:type="textWrapping"/>
      </w:r>
      <w:r>
        <w:rPr>
          <w:rFonts w:hint="eastAsia" w:ascii="仿宋_GB2312" w:eastAsia="仿宋_GB2312"/>
          <w:color w:val="000000"/>
          <w:sz w:val="32"/>
          <w:szCs w:val="32"/>
          <w:lang w:val="en-US" w:eastAsia="zh-CN"/>
        </w:rPr>
        <w:t xml:space="preserve">   </w:t>
      </w:r>
      <w:r>
        <w:rPr>
          <w:rFonts w:hint="eastAsia" w:ascii="楷体_GB2312" w:hAnsi="楷体_GB2312" w:eastAsia="楷体_GB2312" w:cs="楷体_GB2312"/>
          <w:bCs/>
          <w:color w:val="000000"/>
          <w:sz w:val="32"/>
          <w:szCs w:val="32"/>
        </w:rPr>
        <w:t>（三）关于丽水职业技术学院</w:t>
      </w:r>
      <w:r>
        <w:rPr>
          <w:rFonts w:hint="eastAsia" w:ascii="楷体_GB2312" w:hAnsi="楷体_GB2312" w:eastAsia="楷体_GB2312" w:cs="楷体_GB2312"/>
          <w:bCs/>
          <w:color w:val="000000"/>
          <w:sz w:val="32"/>
          <w:szCs w:val="32"/>
          <w:lang w:eastAsia="zh-CN"/>
        </w:rPr>
        <w:t>2026年</w:t>
      </w:r>
      <w:r>
        <w:rPr>
          <w:rFonts w:hint="eastAsia" w:ascii="楷体_GB2312" w:hAnsi="楷体_GB2312" w:eastAsia="楷体_GB2312" w:cs="楷体_GB2312"/>
          <w:bCs/>
          <w:color w:val="000000"/>
          <w:sz w:val="32"/>
          <w:szCs w:val="32"/>
        </w:rPr>
        <w:t>支出预算情况说明</w:t>
      </w:r>
      <w:r>
        <w:rPr>
          <w:rFonts w:hint="eastAsia" w:ascii="楷体_GB2312" w:hAnsi="楷体_GB2312" w:eastAsia="楷体_GB2312" w:cs="楷体_GB2312"/>
          <w:bCs/>
          <w:color w:val="000000"/>
          <w:sz w:val="32"/>
          <w:szCs w:val="32"/>
        </w:rPr>
        <w:br w:type="textWrapping"/>
      </w:r>
      <w:r>
        <w:rPr>
          <w:rFonts w:hint="eastAsia" w:ascii="仿宋_GB2312" w:eastAsia="仿宋_GB2312"/>
          <w:color w:val="000000"/>
          <w:sz w:val="32"/>
          <w:szCs w:val="32"/>
        </w:rPr>
        <w:t>　</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丽水职业技术学院</w:t>
      </w:r>
      <w:r>
        <w:rPr>
          <w:rFonts w:hint="eastAsia" w:ascii="仿宋_GB2312" w:eastAsia="仿宋_GB2312"/>
          <w:color w:val="000000"/>
          <w:sz w:val="32"/>
          <w:szCs w:val="32"/>
          <w:lang w:eastAsia="zh-CN"/>
        </w:rPr>
        <w:t>2026年</w:t>
      </w:r>
      <w:r>
        <w:rPr>
          <w:rFonts w:hint="eastAsia" w:ascii="仿宋_GB2312" w:eastAsia="仿宋_GB2312"/>
          <w:color w:val="000000"/>
          <w:sz w:val="32"/>
          <w:szCs w:val="32"/>
          <w:lang w:val="en-US" w:eastAsia="zh-CN"/>
        </w:rPr>
        <w:t>支出</w:t>
      </w:r>
      <w:r>
        <w:rPr>
          <w:rFonts w:hint="eastAsia" w:ascii="仿宋_GB2312" w:eastAsia="仿宋_GB2312"/>
          <w:color w:val="000000"/>
          <w:sz w:val="32"/>
          <w:szCs w:val="32"/>
        </w:rPr>
        <w:t>预算34485.53万元，比上年执行数减少4705.28万元，下降</w:t>
      </w:r>
      <w:r>
        <w:rPr>
          <w:rFonts w:hint="eastAsia" w:ascii="仿宋_GB2312" w:eastAsia="仿宋_GB2312"/>
          <w:color w:val="000000"/>
          <w:sz w:val="32"/>
          <w:szCs w:val="32"/>
          <w:lang w:val="en-US" w:eastAsia="zh-CN"/>
        </w:rPr>
        <w:t>12.01</w:t>
      </w:r>
      <w:r>
        <w:rPr>
          <w:rFonts w:hint="eastAsia" w:ascii="仿宋_GB2312" w:eastAsia="仿宋_GB2312"/>
          <w:color w:val="000000"/>
          <w:sz w:val="32"/>
          <w:szCs w:val="32"/>
        </w:rPr>
        <w:t>%，主要是超长期特别国债安排的支出</w:t>
      </w:r>
      <w:r>
        <w:rPr>
          <w:rFonts w:hint="eastAsia" w:ascii="仿宋_GB2312" w:eastAsia="仿宋_GB2312"/>
          <w:color w:val="000000"/>
          <w:sz w:val="32"/>
          <w:szCs w:val="32"/>
          <w:lang w:val="en-US" w:eastAsia="zh-CN"/>
        </w:rPr>
        <w:t>减少3166.74万元</w:t>
      </w:r>
      <w:r>
        <w:rPr>
          <w:rFonts w:hint="eastAsia" w:ascii="仿宋_GB2312" w:eastAsia="仿宋_GB2312"/>
          <w:color w:val="000000"/>
          <w:sz w:val="32"/>
          <w:szCs w:val="32"/>
        </w:rPr>
        <w:t>。</w:t>
      </w:r>
    </w:p>
    <w:p w14:paraId="2B5B66C2">
      <w:pPr>
        <w:numPr>
          <w:ilvl w:val="0"/>
          <w:numId w:val="0"/>
        </w:num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按支出功能分类，包括教育支出33714.50万元、科学技术支出6.00万元、城乡社区支出765.03万元。</w:t>
      </w:r>
    </w:p>
    <w:p w14:paraId="6575B5E1">
      <w:pPr>
        <w:numPr>
          <w:ilvl w:val="0"/>
          <w:numId w:val="0"/>
        </w:numPr>
        <w:spacing w:line="52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2.按支出用途分类，包括人员支出18074.70万元，占52.4%；项目支出10699.12万元，占31.0%；事业单位经营支出5711.71万元，占16.6%；年终结转结余0.00万元。</w:t>
      </w:r>
    </w:p>
    <w:p w14:paraId="703CA40E">
      <w:pPr>
        <w:spacing w:line="520" w:lineRule="exact"/>
        <w:ind w:firstLine="627" w:firstLineChars="196"/>
        <w:rPr>
          <w:rFonts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（四）关于丽水职业技术学院</w:t>
      </w:r>
      <w:r>
        <w:rPr>
          <w:rFonts w:hint="eastAsia" w:ascii="楷体_GB2312" w:hAnsi="楷体_GB2312" w:eastAsia="楷体_GB2312" w:cs="楷体_GB2312"/>
          <w:bCs/>
          <w:color w:val="000000"/>
          <w:sz w:val="32"/>
          <w:szCs w:val="32"/>
          <w:lang w:eastAsia="zh-CN"/>
        </w:rPr>
        <w:t>2026年</w:t>
      </w:r>
      <w:r>
        <w:rPr>
          <w:rFonts w:hint="eastAsia" w:ascii="楷体_GB2312" w:hAnsi="楷体_GB2312" w:eastAsia="楷体_GB2312" w:cs="楷体_GB2312"/>
          <w:bCs/>
          <w:color w:val="000000"/>
          <w:sz w:val="32"/>
          <w:szCs w:val="32"/>
        </w:rPr>
        <w:t>财政拨款收支预算情况的总体说明</w:t>
      </w:r>
    </w:p>
    <w:p w14:paraId="10B9A3F6">
      <w:pPr>
        <w:spacing w:line="520" w:lineRule="exact"/>
        <w:ind w:firstLine="640"/>
        <w:rPr>
          <w:rFonts w:hint="eastAsia" w:ascii="仿宋_GB2312" w:eastAsia="仿宋_GB2312"/>
          <w:color w:val="000000"/>
          <w:sz w:val="36"/>
          <w:szCs w:val="36"/>
          <w:lang w:val="en-US" w:eastAsia="zh-CN"/>
        </w:rPr>
      </w:pPr>
      <w:r>
        <w:rPr>
          <w:rFonts w:hint="eastAsia" w:ascii="仿宋_GB2312" w:eastAsia="仿宋_GB2312"/>
          <w:color w:val="000000"/>
          <w:sz w:val="32"/>
          <w:szCs w:val="32"/>
        </w:rPr>
        <w:t>丽水职业技术学院</w:t>
      </w:r>
      <w:r>
        <w:rPr>
          <w:rFonts w:hint="eastAsia" w:ascii="仿宋_GB2312" w:eastAsia="仿宋_GB2312"/>
          <w:color w:val="000000"/>
          <w:sz w:val="32"/>
          <w:szCs w:val="32"/>
          <w:lang w:eastAsia="zh-CN"/>
        </w:rPr>
        <w:t>2026年</w:t>
      </w:r>
      <w:r>
        <w:rPr>
          <w:rFonts w:hint="eastAsia" w:ascii="仿宋_GB2312" w:eastAsia="仿宋_GB2312"/>
          <w:color w:val="000000"/>
          <w:sz w:val="32"/>
          <w:szCs w:val="32"/>
        </w:rPr>
        <w:t>财政拨款收支总预算15873.83万元。收入包括：一般公共预算15108.80万元、政府性基金765.03万元；支出包括：教育支出15102.80万元、科学技术支出6.00万元、城乡社区支出765.03万</w:t>
      </w:r>
      <w:r>
        <w:rPr>
          <w:rFonts w:hint="eastAsia" w:ascii="仿宋_GB2312" w:eastAsia="仿宋_GB2312"/>
          <w:color w:val="000000"/>
          <w:sz w:val="32"/>
          <w:szCs w:val="32"/>
          <w:lang w:val="en-US" w:eastAsia="zh-CN"/>
        </w:rPr>
        <w:t>元。</w:t>
      </w:r>
    </w:p>
    <w:p w14:paraId="46F221D9">
      <w:pPr>
        <w:numPr>
          <w:ilvl w:val="0"/>
          <w:numId w:val="1"/>
        </w:numPr>
        <w:spacing w:line="520" w:lineRule="exact"/>
        <w:ind w:firstLine="640"/>
        <w:rPr>
          <w:rFonts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关于丽水职业技术学院</w:t>
      </w:r>
      <w:r>
        <w:rPr>
          <w:rFonts w:hint="eastAsia" w:ascii="楷体_GB2312" w:hAnsi="楷体_GB2312" w:eastAsia="楷体_GB2312" w:cs="楷体_GB2312"/>
          <w:bCs/>
          <w:color w:val="000000"/>
          <w:sz w:val="32"/>
          <w:szCs w:val="32"/>
          <w:lang w:eastAsia="zh-CN"/>
        </w:rPr>
        <w:t>2026年</w:t>
      </w:r>
      <w:r>
        <w:rPr>
          <w:rFonts w:hint="eastAsia" w:ascii="楷体_GB2312" w:hAnsi="楷体_GB2312" w:eastAsia="楷体_GB2312" w:cs="楷体_GB2312"/>
          <w:bCs/>
          <w:color w:val="000000"/>
          <w:sz w:val="32"/>
          <w:szCs w:val="32"/>
        </w:rPr>
        <w:t>一般公共预算拨款情况说明</w:t>
      </w:r>
    </w:p>
    <w:p w14:paraId="49E5A27B">
      <w:pPr>
        <w:spacing w:line="520" w:lineRule="exact"/>
        <w:ind w:firstLine="642"/>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1.一般公共预算拨款规模变化情况。</w:t>
      </w:r>
    </w:p>
    <w:p w14:paraId="2BF5EA99">
      <w:pPr>
        <w:spacing w:line="520" w:lineRule="exact"/>
        <w:ind w:firstLine="640"/>
        <w:rPr>
          <w:rFonts w:hint="eastAsia" w:ascii="仿宋_GB2312" w:eastAsia="仿宋_GB2312"/>
          <w:color w:val="FF0000"/>
          <w:sz w:val="32"/>
          <w:szCs w:val="32"/>
        </w:rPr>
      </w:pPr>
      <w:r>
        <w:rPr>
          <w:rFonts w:hint="eastAsia" w:ascii="仿宋_GB2312" w:eastAsia="仿宋_GB2312"/>
          <w:color w:val="000000"/>
          <w:sz w:val="32"/>
          <w:szCs w:val="32"/>
        </w:rPr>
        <w:t>丽水职业技术学院</w:t>
      </w:r>
      <w:r>
        <w:rPr>
          <w:rFonts w:hint="eastAsia" w:ascii="仿宋_GB2312" w:eastAsia="仿宋_GB2312"/>
          <w:color w:val="000000"/>
          <w:sz w:val="32"/>
          <w:szCs w:val="32"/>
          <w:lang w:eastAsia="zh-CN"/>
        </w:rPr>
        <w:t>2026年</w:t>
      </w:r>
      <w:r>
        <w:rPr>
          <w:rFonts w:hint="eastAsia" w:ascii="仿宋_GB2312" w:eastAsia="仿宋_GB2312"/>
          <w:color w:val="000000"/>
          <w:sz w:val="32"/>
          <w:szCs w:val="32"/>
        </w:rPr>
        <w:t>一般公共预算拨款15108.80万元，比上年执行数增加</w:t>
      </w:r>
      <w:r>
        <w:rPr>
          <w:rFonts w:hint="eastAsia" w:ascii="仿宋_GB2312" w:eastAsia="仿宋_GB2312"/>
          <w:color w:val="000000"/>
          <w:sz w:val="32"/>
          <w:szCs w:val="32"/>
          <w:lang w:val="en-US" w:eastAsia="zh-CN"/>
        </w:rPr>
        <w:t>733.11</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5.1</w:t>
      </w:r>
      <w:r>
        <w:rPr>
          <w:rFonts w:hint="eastAsia" w:ascii="仿宋_GB2312" w:eastAsia="仿宋_GB2312"/>
          <w:color w:val="000000"/>
          <w:sz w:val="32"/>
          <w:szCs w:val="32"/>
        </w:rPr>
        <w:t>%，主要是</w:t>
      </w:r>
      <w:r>
        <w:rPr>
          <w:rFonts w:hint="eastAsia" w:ascii="仿宋_GB2312" w:eastAsia="仿宋_GB2312"/>
          <w:color w:val="000000"/>
          <w:sz w:val="32"/>
          <w:szCs w:val="32"/>
          <w:lang w:val="en-US" w:eastAsia="zh-CN"/>
        </w:rPr>
        <w:t>项目支出增加907.41万元</w:t>
      </w:r>
      <w:r>
        <w:rPr>
          <w:rFonts w:hint="eastAsia" w:ascii="仿宋_GB2312" w:eastAsia="仿宋_GB2312"/>
          <w:color w:val="000000"/>
          <w:sz w:val="32"/>
          <w:szCs w:val="32"/>
        </w:rPr>
        <w:t>。</w:t>
      </w:r>
    </w:p>
    <w:p w14:paraId="34C09D8D">
      <w:pPr>
        <w:spacing w:line="520" w:lineRule="exact"/>
        <w:ind w:firstLine="642"/>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2.一般公共预算拨款结构情况。</w:t>
      </w:r>
    </w:p>
    <w:p w14:paraId="5259BEB6">
      <w:pPr>
        <w:spacing w:line="520" w:lineRule="exact"/>
        <w:ind w:firstLine="640" w:firstLineChars="200"/>
        <w:rPr>
          <w:rFonts w:hint="eastAsia" w:ascii="仿宋_GB2312" w:hAnsi="仿宋_GB2312" w:eastAsia="仿宋_GB2312" w:cs="仿宋_GB2312"/>
          <w:b/>
          <w:color w:val="000000"/>
          <w:sz w:val="32"/>
          <w:szCs w:val="32"/>
          <w:lang w:val="en-US" w:eastAsia="zh-CN"/>
        </w:rPr>
      </w:pPr>
      <w:r>
        <w:rPr>
          <w:rFonts w:hint="eastAsia" w:ascii="仿宋_GB2312" w:hAnsi="仿宋_GB2312" w:eastAsia="仿宋_GB2312" w:cs="仿宋_GB2312"/>
          <w:color w:val="000000"/>
          <w:sz w:val="32"/>
          <w:szCs w:val="32"/>
        </w:rPr>
        <w:t>教育支出15102.80万元，占</w:t>
      </w:r>
      <w:r>
        <w:rPr>
          <w:rFonts w:hint="eastAsia" w:ascii="仿宋_GB2312" w:hAnsi="仿宋_GB2312" w:eastAsia="仿宋_GB2312" w:cs="仿宋_GB2312"/>
          <w:color w:val="000000"/>
          <w:sz w:val="32"/>
          <w:szCs w:val="32"/>
          <w:lang w:val="en-US" w:eastAsia="zh-CN"/>
        </w:rPr>
        <w:t>99.6</w:t>
      </w:r>
      <w:r>
        <w:rPr>
          <w:rFonts w:hint="eastAsia" w:ascii="仿宋_GB2312" w:hAnsi="仿宋_GB2312" w:eastAsia="仿宋_GB2312" w:cs="仿宋_GB2312"/>
          <w:color w:val="000000"/>
          <w:sz w:val="32"/>
          <w:szCs w:val="32"/>
        </w:rPr>
        <w:t>%；科学技术支出6.00万元，占0.</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p>
    <w:p w14:paraId="6B212476">
      <w:pPr>
        <w:spacing w:line="520" w:lineRule="exact"/>
        <w:ind w:firstLine="642"/>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3.一般公共预算拨款具体使用情况。</w:t>
      </w:r>
    </w:p>
    <w:p w14:paraId="20581D81">
      <w:pPr>
        <w:spacing w:line="520" w:lineRule="exact"/>
        <w:ind w:firstLine="640"/>
        <w:rPr>
          <w:rFonts w:ascii="仿宋_GB2312" w:hAnsi="仿宋_GB2312" w:eastAsia="仿宋_GB2312" w:cs="仿宋_GB2312"/>
          <w:color w:val="FF0000"/>
          <w:sz w:val="32"/>
          <w:szCs w:val="32"/>
        </w:rPr>
      </w:pPr>
      <w:r>
        <w:rPr>
          <w:rFonts w:hint="eastAsia" w:ascii="仿宋_GB2312" w:hAnsi="仿宋_GB2312" w:eastAsia="仿宋_GB2312" w:cs="仿宋_GB2312"/>
          <w:color w:val="000000"/>
          <w:sz w:val="32"/>
          <w:szCs w:val="32"/>
        </w:rPr>
        <w:t>（1）教育支出（类）职业教育（款）高等职业教育（项）15067.80万元，主要用于</w:t>
      </w:r>
      <w:r>
        <w:rPr>
          <w:rFonts w:hint="eastAsia" w:ascii="仿宋_GB2312" w:hAnsi="仿宋_GB2312" w:eastAsia="仿宋_GB2312" w:cs="仿宋_GB2312"/>
          <w:color w:val="000000"/>
          <w:sz w:val="32"/>
          <w:szCs w:val="32"/>
          <w:lang w:val="en-US" w:eastAsia="zh-CN"/>
        </w:rPr>
        <w:t>人员经费10674.70万元，现代职业教育质量提升计划资金(生均拨款奖补资金)等项目支出654万元</w:t>
      </w:r>
      <w:r>
        <w:rPr>
          <w:rFonts w:hint="eastAsia" w:ascii="仿宋_GB2312" w:hAnsi="仿宋_GB2312" w:eastAsia="仿宋_GB2312" w:cs="仿宋_GB2312"/>
          <w:color w:val="000000"/>
          <w:sz w:val="32"/>
          <w:szCs w:val="32"/>
        </w:rPr>
        <w:t>。</w:t>
      </w:r>
    </w:p>
    <w:p w14:paraId="275B5D32">
      <w:pPr>
        <w:spacing w:line="520" w:lineRule="exact"/>
        <w:ind w:firstLine="64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教育支出</w:t>
      </w:r>
      <w:r>
        <w:rPr>
          <w:rFonts w:hint="eastAsia" w:ascii="仿宋_GB2312" w:hAnsi="仿宋_GB2312" w:eastAsia="仿宋_GB2312" w:cs="仿宋_GB2312"/>
          <w:color w:val="000000"/>
          <w:sz w:val="32"/>
          <w:szCs w:val="32"/>
        </w:rPr>
        <w:t>（类）教育费附加安排的支出（款）其他教育费附加安排的支出（项）</w:t>
      </w:r>
      <w:r>
        <w:rPr>
          <w:rFonts w:hint="eastAsia" w:ascii="仿宋_GB2312" w:hAnsi="仿宋_GB2312" w:eastAsia="仿宋_GB2312" w:cs="仿宋_GB2312"/>
          <w:color w:val="000000"/>
          <w:sz w:val="32"/>
          <w:szCs w:val="32"/>
          <w:lang w:val="en-US" w:eastAsia="zh-CN"/>
        </w:rPr>
        <w:t>35万元，主要用于教育费附加专项资金(思想政治工作质量提升工程)20万元、教育费附加专项资金(浙江省中职学校职业能力大赛)15万元。</w:t>
      </w:r>
    </w:p>
    <w:p w14:paraId="69C58CE0">
      <w:pPr>
        <w:spacing w:line="520" w:lineRule="exact"/>
        <w:rPr>
          <w:rFonts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 xml:space="preserve">  </w:t>
      </w:r>
      <w:r>
        <w:rPr>
          <w:rFonts w:hint="eastAsia" w:ascii="楷体_GB2312" w:hAnsi="楷体_GB2312" w:eastAsia="楷体_GB2312" w:cs="楷体_GB2312"/>
          <w:bCs/>
          <w:color w:val="000000"/>
          <w:sz w:val="32"/>
          <w:szCs w:val="32"/>
          <w:lang w:val="en-US" w:eastAsia="zh-CN"/>
        </w:rPr>
        <w:t xml:space="preserve"> </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）科学技术支出（类）社会科学</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款</w:t>
      </w:r>
      <w:r>
        <w:rPr>
          <w:rFonts w:hint="eastAsia" w:ascii="仿宋_GB2312" w:hAnsi="仿宋_GB2312" w:eastAsia="仿宋_GB2312" w:cs="仿宋_GB2312"/>
          <w:color w:val="000000"/>
          <w:sz w:val="32"/>
          <w:szCs w:val="32"/>
          <w:lang w:eastAsia="zh-CN"/>
        </w:rPr>
        <w:t>）社会科学研究（</w:t>
      </w:r>
      <w:r>
        <w:rPr>
          <w:rFonts w:hint="eastAsia" w:ascii="仿宋_GB2312" w:hAnsi="仿宋_GB2312" w:eastAsia="仿宋_GB2312" w:cs="仿宋_GB2312"/>
          <w:color w:val="000000"/>
          <w:sz w:val="32"/>
          <w:szCs w:val="32"/>
          <w:lang w:val="en-US" w:eastAsia="zh-CN"/>
        </w:rPr>
        <w:t>项</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6万元，主要用于2025年省哲学科学专项资金6万元。</w:t>
      </w:r>
      <w:r>
        <w:rPr>
          <w:rFonts w:hint="eastAsia" w:ascii="仿宋_GB2312" w:hAnsi="仿宋_GB2312" w:eastAsia="仿宋_GB2312" w:cs="仿宋_GB2312"/>
          <w:color w:val="000000"/>
          <w:sz w:val="32"/>
          <w:szCs w:val="32"/>
        </w:rPr>
        <w:t xml:space="preserve">  </w:t>
      </w:r>
      <w:r>
        <w:rPr>
          <w:rFonts w:hint="eastAsia" w:ascii="楷体_GB2312" w:hAnsi="楷体_GB2312" w:eastAsia="楷体_GB2312" w:cs="楷体_GB2312"/>
          <w:bCs/>
          <w:color w:val="000000"/>
          <w:sz w:val="32"/>
          <w:szCs w:val="32"/>
        </w:rPr>
        <w:t xml:space="preserve">  （六）关于丽水职业技术学院</w:t>
      </w:r>
      <w:r>
        <w:rPr>
          <w:rFonts w:hint="eastAsia" w:ascii="楷体_GB2312" w:hAnsi="楷体_GB2312" w:eastAsia="楷体_GB2312" w:cs="楷体_GB2312"/>
          <w:bCs/>
          <w:color w:val="000000"/>
          <w:sz w:val="32"/>
          <w:szCs w:val="32"/>
          <w:lang w:eastAsia="zh-CN"/>
        </w:rPr>
        <w:t>2026年</w:t>
      </w:r>
      <w:r>
        <w:rPr>
          <w:rFonts w:hint="eastAsia" w:ascii="楷体_GB2312" w:hAnsi="楷体_GB2312" w:eastAsia="楷体_GB2312" w:cs="楷体_GB2312"/>
          <w:bCs/>
          <w:color w:val="000000"/>
          <w:sz w:val="32"/>
          <w:szCs w:val="32"/>
        </w:rPr>
        <w:t>一般公共预算基本支出情况说明</w:t>
      </w:r>
    </w:p>
    <w:p w14:paraId="2940194A">
      <w:pPr>
        <w:spacing w:line="520" w:lineRule="exact"/>
        <w:ind w:firstLine="642"/>
        <w:rPr>
          <w:rFonts w:ascii="仿宋_GB2312" w:eastAsia="仿宋_GB2312"/>
          <w:color w:val="000000"/>
          <w:sz w:val="32"/>
          <w:szCs w:val="32"/>
        </w:rPr>
      </w:pPr>
      <w:r>
        <w:rPr>
          <w:rFonts w:hint="eastAsia" w:ascii="仿宋_GB2312" w:eastAsia="仿宋_GB2312"/>
          <w:color w:val="000000"/>
          <w:sz w:val="32"/>
          <w:szCs w:val="32"/>
        </w:rPr>
        <w:t>丽水职业技术学院</w:t>
      </w:r>
      <w:r>
        <w:rPr>
          <w:rFonts w:hint="eastAsia" w:ascii="仿宋_GB2312" w:eastAsia="仿宋_GB2312"/>
          <w:color w:val="000000"/>
          <w:sz w:val="32"/>
          <w:szCs w:val="32"/>
          <w:lang w:eastAsia="zh-CN"/>
        </w:rPr>
        <w:t>2026年</w:t>
      </w:r>
      <w:r>
        <w:rPr>
          <w:rFonts w:hint="eastAsia" w:ascii="仿宋_GB2312" w:eastAsia="仿宋_GB2312"/>
          <w:color w:val="000000"/>
          <w:sz w:val="32"/>
          <w:szCs w:val="32"/>
        </w:rPr>
        <w:t>一般公共预算基本支出10674.70万元，其中：</w:t>
      </w:r>
    </w:p>
    <w:p w14:paraId="13EEFEC0">
      <w:pPr>
        <w:spacing w:line="520" w:lineRule="exact"/>
        <w:ind w:firstLine="642"/>
        <w:rPr>
          <w:rFonts w:hint="eastAsia" w:ascii="仿宋_GB2312" w:eastAsia="仿宋_GB2312"/>
          <w:color w:val="000000"/>
          <w:sz w:val="32"/>
          <w:szCs w:val="32"/>
          <w:lang w:val="en-US" w:eastAsia="zh-CN"/>
        </w:rPr>
      </w:pPr>
      <w:r>
        <w:rPr>
          <w:rFonts w:hint="eastAsia" w:ascii="仿宋_GB2312" w:eastAsia="仿宋_GB2312"/>
          <w:color w:val="000000"/>
          <w:sz w:val="32"/>
          <w:szCs w:val="32"/>
        </w:rPr>
        <w:t>人员</w:t>
      </w:r>
      <w:r>
        <w:rPr>
          <w:rFonts w:hint="eastAsia" w:ascii="仿宋_GB2312" w:eastAsia="仿宋_GB2312"/>
          <w:color w:val="000000"/>
          <w:sz w:val="32"/>
          <w:szCs w:val="32"/>
          <w:lang w:val="en-US" w:eastAsia="zh-CN"/>
        </w:rPr>
        <w:t>支出</w:t>
      </w:r>
      <w:r>
        <w:rPr>
          <w:rFonts w:hint="eastAsia" w:ascii="仿宋_GB2312" w:eastAsia="仿宋_GB2312"/>
          <w:color w:val="000000"/>
          <w:sz w:val="32"/>
          <w:szCs w:val="32"/>
        </w:rPr>
        <w:t>10674.70万元，主要包括：基本工资</w:t>
      </w:r>
      <w:r>
        <w:rPr>
          <w:rFonts w:hint="eastAsia" w:ascii="仿宋_GB2312" w:eastAsia="仿宋_GB2312"/>
          <w:color w:val="000000"/>
          <w:sz w:val="32"/>
          <w:szCs w:val="32"/>
          <w:lang w:eastAsia="zh-CN"/>
        </w:rPr>
        <w:t>；</w:t>
      </w:r>
    </w:p>
    <w:p w14:paraId="41A0E7F2">
      <w:pPr>
        <w:spacing w:line="520" w:lineRule="exact"/>
        <w:ind w:firstLine="642"/>
        <w:rPr>
          <w:rFonts w:ascii="仿宋_GB2312" w:eastAsia="仿宋_GB2312"/>
          <w:color w:val="000000"/>
          <w:sz w:val="32"/>
          <w:szCs w:val="32"/>
        </w:rPr>
      </w:pPr>
      <w:r>
        <w:rPr>
          <w:rFonts w:hint="eastAsia" w:ascii="仿宋_GB2312" w:eastAsia="仿宋_GB2312"/>
          <w:color w:val="000000"/>
          <w:sz w:val="32"/>
          <w:szCs w:val="32"/>
          <w:lang w:val="en-US" w:eastAsia="zh-CN"/>
        </w:rPr>
        <w:t>日常</w:t>
      </w:r>
      <w:r>
        <w:rPr>
          <w:rFonts w:hint="eastAsia" w:ascii="仿宋_GB2312" w:eastAsia="仿宋_GB2312"/>
          <w:color w:val="000000"/>
          <w:sz w:val="32"/>
          <w:szCs w:val="32"/>
        </w:rPr>
        <w:t>公用</w:t>
      </w:r>
      <w:r>
        <w:rPr>
          <w:rFonts w:hint="eastAsia" w:ascii="仿宋_GB2312" w:eastAsia="仿宋_GB2312"/>
          <w:color w:val="000000"/>
          <w:sz w:val="32"/>
          <w:szCs w:val="32"/>
          <w:lang w:val="en-US" w:eastAsia="zh-CN"/>
        </w:rPr>
        <w:t>支出</w:t>
      </w:r>
      <w:r>
        <w:rPr>
          <w:rFonts w:hint="eastAsia" w:ascii="仿宋_GB2312" w:eastAsia="仿宋_GB2312"/>
          <w:color w:val="000000"/>
          <w:sz w:val="32"/>
          <w:szCs w:val="32"/>
        </w:rPr>
        <w:t>0.00万元。</w:t>
      </w:r>
    </w:p>
    <w:p w14:paraId="09DB71C0">
      <w:pPr>
        <w:spacing w:line="520" w:lineRule="exact"/>
        <w:ind w:firstLine="642"/>
        <w:rPr>
          <w:rFonts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（七）关于丽水职业技术学院</w:t>
      </w:r>
      <w:r>
        <w:rPr>
          <w:rFonts w:hint="eastAsia" w:ascii="楷体_GB2312" w:hAnsi="楷体_GB2312" w:eastAsia="楷体_GB2312" w:cs="楷体_GB2312"/>
          <w:bCs/>
          <w:color w:val="000000"/>
          <w:sz w:val="32"/>
          <w:szCs w:val="32"/>
          <w:lang w:eastAsia="zh-CN"/>
        </w:rPr>
        <w:t>2026年</w:t>
      </w:r>
      <w:r>
        <w:rPr>
          <w:rFonts w:hint="eastAsia" w:ascii="楷体_GB2312" w:hAnsi="楷体_GB2312" w:eastAsia="楷体_GB2312" w:cs="楷体_GB2312"/>
          <w:bCs/>
          <w:color w:val="000000"/>
          <w:sz w:val="32"/>
          <w:szCs w:val="32"/>
        </w:rPr>
        <w:t>政府性基金预算支出情况说明</w:t>
      </w:r>
    </w:p>
    <w:p w14:paraId="598AFE64">
      <w:pPr>
        <w:spacing w:line="520" w:lineRule="exact"/>
        <w:ind w:firstLine="642"/>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1.政府性基金预算拨款规模变化情况。</w:t>
      </w:r>
    </w:p>
    <w:p w14:paraId="4EF6A3A0">
      <w:pPr>
        <w:spacing w:line="52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丽水职业技术学院</w:t>
      </w:r>
      <w:r>
        <w:rPr>
          <w:rFonts w:hint="eastAsia" w:ascii="仿宋_GB2312" w:hAnsi="仿宋_GB2312" w:eastAsia="仿宋_GB2312" w:cs="仿宋_GB2312"/>
          <w:color w:val="000000"/>
          <w:sz w:val="32"/>
          <w:szCs w:val="32"/>
          <w:lang w:eastAsia="zh-CN"/>
        </w:rPr>
        <w:t>2026年</w:t>
      </w:r>
      <w:r>
        <w:rPr>
          <w:rFonts w:hint="eastAsia" w:ascii="仿宋_GB2312" w:hAnsi="仿宋_GB2312" w:eastAsia="仿宋_GB2312" w:cs="仿宋_GB2312"/>
          <w:color w:val="000000"/>
          <w:sz w:val="32"/>
          <w:szCs w:val="32"/>
        </w:rPr>
        <w:t>政府性基金预算拨款765.03万元，比</w:t>
      </w:r>
      <w:r>
        <w:rPr>
          <w:rFonts w:hint="eastAsia" w:ascii="仿宋_GB2312" w:hAnsi="仿宋_GB2312" w:eastAsia="仿宋_GB2312" w:cs="仿宋_GB2312"/>
          <w:color w:val="000000"/>
          <w:sz w:val="32"/>
          <w:szCs w:val="32"/>
          <w:lang w:val="en-US" w:eastAsia="zh-CN"/>
        </w:rPr>
        <w:t>上</w:t>
      </w:r>
      <w:r>
        <w:rPr>
          <w:rFonts w:hint="eastAsia" w:ascii="仿宋_GB2312" w:hAnsi="仿宋_GB2312" w:eastAsia="仿宋_GB2312" w:cs="仿宋_GB2312"/>
          <w:color w:val="000000"/>
          <w:sz w:val="32"/>
          <w:szCs w:val="32"/>
        </w:rPr>
        <w:t>年执</w:t>
      </w:r>
      <w:r>
        <w:rPr>
          <w:rFonts w:hint="eastAsia" w:ascii="仿宋_GB2312" w:hAnsi="仿宋_GB2312" w:eastAsia="仿宋_GB2312" w:cs="仿宋_GB2312"/>
          <w:color w:val="000000"/>
          <w:sz w:val="32"/>
          <w:szCs w:val="32"/>
          <w:lang w:val="en-US" w:eastAsia="zh-CN"/>
        </w:rPr>
        <w:t>行数减少4327.7072万元，下降84.98%，主要是高等教育支出减少2401.7万元，城市建设支出减少1160.97万元。</w:t>
      </w:r>
    </w:p>
    <w:p w14:paraId="3E243D72">
      <w:pPr>
        <w:spacing w:line="520" w:lineRule="exact"/>
        <w:ind w:firstLine="643" w:firstLineChars="200"/>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2.政府性基金预算拨款结构情况。</w:t>
      </w:r>
    </w:p>
    <w:p w14:paraId="6DDFB92E">
      <w:pPr>
        <w:spacing w:line="5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城乡社区支出765.03万元，占100.0%；</w:t>
      </w:r>
    </w:p>
    <w:p w14:paraId="6FE6077C">
      <w:pPr>
        <w:spacing w:line="520" w:lineRule="exact"/>
        <w:ind w:firstLine="321" w:firstLineChars="100"/>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 xml:space="preserve">  3.政府性基金预算拨款具体使用情况。</w:t>
      </w:r>
    </w:p>
    <w:p w14:paraId="24A7A954">
      <w:pPr>
        <w:pStyle w:val="2"/>
        <w:ind w:firstLine="640" w:firstLineChars="200"/>
        <w:rPr>
          <w:rFonts w:hint="default"/>
          <w:lang w:val="en-US" w:eastAsia="zh-CN"/>
        </w:rPr>
      </w:pPr>
      <w:r>
        <w:rPr>
          <w:rFonts w:hint="eastAsia" w:ascii="仿宋_GB2312" w:hAnsi="仿宋_GB2312" w:eastAsia="仿宋_GB2312" w:cs="仿宋_GB2312"/>
          <w:color w:val="000000"/>
          <w:sz w:val="32"/>
          <w:szCs w:val="32"/>
        </w:rPr>
        <w:t>（1）城乡社区支出（类）国有土地使用权出让收入安排的支出（款）城市建设支出（项）765.03万元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主要用于丽水职业技术学院双高校建设提升工程(专项债券基建)</w:t>
      </w:r>
      <w:r>
        <w:rPr>
          <w:rFonts w:hint="eastAsia" w:ascii="仿宋_GB2312" w:hAnsi="仿宋_GB2312" w:eastAsia="仿宋_GB2312" w:cs="仿宋_GB2312"/>
          <w:color w:val="000000"/>
          <w:sz w:val="32"/>
          <w:szCs w:val="32"/>
          <w:lang w:val="en-US" w:eastAsia="zh-CN"/>
        </w:rPr>
        <w:t>763万元</w:t>
      </w:r>
      <w:r>
        <w:rPr>
          <w:rFonts w:hint="eastAsia" w:ascii="仿宋_GB2312" w:hAnsi="仿宋_GB2312" w:eastAsia="仿宋_GB2312" w:cs="仿宋_GB2312"/>
          <w:color w:val="000000"/>
          <w:sz w:val="32"/>
          <w:szCs w:val="32"/>
          <w:lang w:eastAsia="zh-CN"/>
        </w:rPr>
        <w:t>；</w:t>
      </w:r>
      <w:r>
        <w:rPr>
          <w:rFonts w:hint="eastAsia" w:cs="仿宋_GB2312"/>
          <w:color w:val="000000"/>
          <w:sz w:val="32"/>
          <w:szCs w:val="32"/>
          <w:lang w:val="en-US" w:eastAsia="zh-CN"/>
        </w:rPr>
        <w:t>丽水职业技术学院校园西区提升改造工程(基建)2.03万元</w:t>
      </w:r>
    </w:p>
    <w:p w14:paraId="447EE749">
      <w:pPr>
        <w:spacing w:line="520" w:lineRule="exact"/>
        <w:ind w:firstLine="643"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（八）关于丽水职业技术学院</w:t>
      </w:r>
      <w:r>
        <w:rPr>
          <w:rFonts w:hint="eastAsia" w:ascii="仿宋_GB2312" w:hAnsi="仿宋_GB2312" w:eastAsia="仿宋_GB2312" w:cs="仿宋_GB2312"/>
          <w:b/>
          <w:color w:val="000000"/>
          <w:sz w:val="32"/>
          <w:szCs w:val="32"/>
          <w:lang w:eastAsia="zh-CN"/>
        </w:rPr>
        <w:t>2026年</w:t>
      </w:r>
      <w:r>
        <w:rPr>
          <w:rFonts w:hint="eastAsia" w:ascii="仿宋_GB2312" w:hAnsi="仿宋_GB2312" w:eastAsia="仿宋_GB2312" w:cs="仿宋_GB2312"/>
          <w:b/>
          <w:color w:val="000000"/>
          <w:sz w:val="32"/>
          <w:szCs w:val="32"/>
        </w:rPr>
        <w:t>国有资本经营预算支出情况说明</w:t>
      </w:r>
    </w:p>
    <w:p w14:paraId="1F34CD17">
      <w:pPr>
        <w:ind w:firstLine="640" w:firstLineChars="200"/>
        <w:rPr>
          <w:rFonts w:hint="eastAsia" w:eastAsia="仿宋_GB2312"/>
          <w:highlight w:val="none"/>
          <w:lang w:eastAsia="zh-CN"/>
        </w:rPr>
      </w:pPr>
      <w:r>
        <w:rPr>
          <w:rFonts w:hint="eastAsia" w:ascii="仿宋_GB2312" w:hAnsi="仿宋_GB2312" w:eastAsia="仿宋_GB2312" w:cs="仿宋_GB2312"/>
          <w:color w:val="000000"/>
          <w:sz w:val="32"/>
          <w:szCs w:val="32"/>
          <w:highlight w:val="none"/>
        </w:rPr>
        <w:t>丽水职业技术学院</w:t>
      </w:r>
      <w:r>
        <w:rPr>
          <w:rFonts w:hint="eastAsia" w:ascii="仿宋_GB2312" w:hAnsi="仿宋_GB2312" w:eastAsia="仿宋_GB2312" w:cs="仿宋_GB2312"/>
          <w:color w:val="000000"/>
          <w:sz w:val="32"/>
          <w:szCs w:val="32"/>
          <w:highlight w:val="none"/>
          <w:lang w:eastAsia="zh-CN"/>
        </w:rPr>
        <w:t>202</w:t>
      </w:r>
      <w:r>
        <w:rPr>
          <w:rFonts w:hint="eastAsia" w:ascii="仿宋_GB2312" w:hAnsi="仿宋_GB2312" w:eastAsia="仿宋_GB2312" w:cs="仿宋_GB2312"/>
          <w:color w:val="000000"/>
          <w:sz w:val="32"/>
          <w:szCs w:val="32"/>
          <w:highlight w:val="none"/>
          <w:lang w:val="en-US" w:eastAsia="zh-CN"/>
        </w:rPr>
        <w:t>6</w:t>
      </w:r>
      <w:r>
        <w:rPr>
          <w:rFonts w:hint="eastAsia" w:ascii="仿宋_GB2312" w:hAnsi="仿宋_GB2312" w:eastAsia="仿宋_GB2312" w:cs="仿宋_GB2312"/>
          <w:color w:val="000000"/>
          <w:sz w:val="32"/>
          <w:szCs w:val="32"/>
          <w:highlight w:val="none"/>
          <w:lang w:eastAsia="zh-CN"/>
        </w:rPr>
        <w:t>年</w:t>
      </w:r>
      <w:r>
        <w:rPr>
          <w:rFonts w:hint="eastAsia" w:ascii="仿宋_GB2312" w:hAnsi="仿宋_GB2312" w:eastAsia="仿宋_GB2312" w:cs="仿宋_GB2312"/>
          <w:color w:val="000000"/>
          <w:sz w:val="32"/>
          <w:szCs w:val="32"/>
          <w:highlight w:val="none"/>
        </w:rPr>
        <w:t>没有使用国有资本经营预算拨款安排的支出，与上年持平</w:t>
      </w:r>
      <w:r>
        <w:rPr>
          <w:rFonts w:hint="eastAsia" w:ascii="仿宋_GB2312" w:hAnsi="仿宋_GB2312" w:eastAsia="仿宋_GB2312" w:cs="仿宋_GB2312"/>
          <w:color w:val="000000"/>
          <w:sz w:val="32"/>
          <w:szCs w:val="32"/>
          <w:highlight w:val="none"/>
          <w:lang w:eastAsia="zh-CN"/>
        </w:rPr>
        <w:t>。</w:t>
      </w:r>
    </w:p>
    <w:p w14:paraId="01F167EB">
      <w:pPr>
        <w:spacing w:line="520" w:lineRule="exact"/>
        <w:ind w:firstLine="627" w:firstLineChars="196"/>
        <w:rPr>
          <w:rFonts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（九）关于丽水职业技术学院</w:t>
      </w:r>
      <w:r>
        <w:rPr>
          <w:rFonts w:hint="eastAsia" w:ascii="楷体_GB2312" w:hAnsi="楷体_GB2312" w:eastAsia="楷体_GB2312" w:cs="楷体_GB2312"/>
          <w:bCs/>
          <w:color w:val="000000"/>
          <w:sz w:val="32"/>
          <w:szCs w:val="32"/>
          <w:lang w:eastAsia="zh-CN"/>
        </w:rPr>
        <w:t>2026年</w:t>
      </w:r>
      <w:r>
        <w:rPr>
          <w:rFonts w:hint="eastAsia" w:ascii="楷体_GB2312" w:hAnsi="楷体_GB2312" w:eastAsia="楷体_GB2312" w:cs="楷体_GB2312"/>
          <w:bCs/>
          <w:sz w:val="32"/>
          <w:szCs w:val="32"/>
        </w:rPr>
        <w:t>一般公共预算</w:t>
      </w:r>
      <w:r>
        <w:rPr>
          <w:rFonts w:hint="eastAsia" w:ascii="楷体_GB2312" w:hAnsi="楷体_GB2312" w:eastAsia="楷体_GB2312" w:cs="楷体_GB2312"/>
          <w:bCs/>
          <w:color w:val="000000"/>
          <w:sz w:val="32"/>
          <w:szCs w:val="32"/>
        </w:rPr>
        <w:t>“三公”经费预算情况说明</w:t>
      </w:r>
    </w:p>
    <w:p w14:paraId="06AF5E78">
      <w:pPr>
        <w:spacing w:line="520" w:lineRule="exact"/>
        <w:ind w:firstLine="640" w:firstLineChars="200"/>
        <w:rPr>
          <w:rFonts w:ascii="仿宋_GB2312" w:hAnsi="仿宋_GB2312" w:eastAsia="仿宋_GB2312"/>
          <w:sz w:val="32"/>
        </w:rPr>
      </w:pPr>
      <w:r>
        <w:rPr>
          <w:rFonts w:hint="eastAsia" w:ascii="仿宋_GB2312" w:hAnsi="仿宋_GB2312" w:eastAsia="仿宋_GB2312"/>
          <w:sz w:val="32"/>
        </w:rPr>
        <w:t>丽水职业技术学院</w:t>
      </w:r>
      <w:r>
        <w:rPr>
          <w:rFonts w:hint="eastAsia" w:ascii="仿宋_GB2312" w:hAnsi="仿宋_GB2312" w:eastAsia="仿宋_GB2312"/>
          <w:sz w:val="32"/>
          <w:lang w:eastAsia="zh-CN"/>
        </w:rPr>
        <w:t>2025年</w:t>
      </w:r>
      <w:r>
        <w:rPr>
          <w:rFonts w:hint="eastAsia" w:ascii="仿宋_GB2312" w:hAnsi="仿宋_GB2312" w:eastAsia="仿宋_GB2312"/>
          <w:sz w:val="32"/>
        </w:rPr>
        <w:t>“三公”经费预算数为0.00万元，</w:t>
      </w:r>
      <w:r>
        <w:rPr>
          <w:rFonts w:hint="eastAsia" w:ascii="仿宋_GB2312" w:hAnsi="仿宋_GB2312" w:eastAsia="仿宋_GB2312"/>
          <w:sz w:val="32"/>
          <w:shd w:val="clear" w:color="auto" w:fill="FFFFFF"/>
        </w:rPr>
        <w:t>比上年预算数</w:t>
      </w:r>
      <w:r>
        <w:rPr>
          <w:rFonts w:hint="eastAsia" w:ascii="仿宋_GB2312" w:hAnsi="仿宋_GB2312" w:eastAsia="仿宋_GB2312"/>
          <w:sz w:val="32"/>
          <w:shd w:val="clear" w:color="auto" w:fill="FFFFFF"/>
          <w:lang w:val="en-US" w:eastAsia="zh-CN"/>
        </w:rPr>
        <w:t>持平，</w:t>
      </w:r>
      <w:r>
        <w:rPr>
          <w:rFonts w:hint="eastAsia" w:ascii="仿宋_GB2312" w:hAnsi="仿宋_GB2312" w:eastAsia="仿宋_GB2312"/>
          <w:sz w:val="32"/>
        </w:rPr>
        <w:t>具体如下：</w:t>
      </w:r>
    </w:p>
    <w:p w14:paraId="057AF8D5">
      <w:pPr>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1.因公出国（境）费用：</w:t>
      </w:r>
      <w:r>
        <w:rPr>
          <w:rFonts w:hint="eastAsia" w:ascii="仿宋_GB2312" w:hAnsi="仿宋_GB2312" w:eastAsia="仿宋_GB2312" w:cs="仿宋_GB2312"/>
          <w:sz w:val="32"/>
          <w:szCs w:val="32"/>
        </w:rPr>
        <w:t>根据因公出国计划和实际工作需要，</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rPr>
        <w:t>安排因公出国（境）费用预算0.00万元，比上年预算数</w:t>
      </w:r>
      <w:r>
        <w:rPr>
          <w:rFonts w:hint="eastAsia" w:ascii="仿宋_GB2312" w:hAnsi="仿宋_GB2312" w:eastAsia="仿宋_GB2312"/>
          <w:sz w:val="32"/>
          <w:shd w:val="clear" w:color="auto" w:fill="FFFFFF"/>
          <w:lang w:val="en-US" w:eastAsia="zh-CN"/>
        </w:rPr>
        <w:t>持平</w:t>
      </w:r>
      <w:r>
        <w:rPr>
          <w:rFonts w:hint="eastAsia" w:ascii="仿宋_GB2312" w:hAnsi="仿宋_GB2312" w:eastAsia="仿宋_GB2312" w:cs="仿宋_GB2312"/>
          <w:sz w:val="32"/>
          <w:szCs w:val="32"/>
        </w:rPr>
        <w:t>。主要用于机关及下属预算单位人员公务出国（境）的国际旅费、国外城市间交通费、住宿费、伙食费、培训费、公杂费等支出。</w:t>
      </w:r>
      <w:r>
        <w:rPr>
          <w:rFonts w:hint="eastAsia" w:ascii="仿宋_GB2312" w:hAnsi="仿宋_GB2312" w:eastAsia="仿宋_GB2312" w:cs="仿宋_GB2312"/>
          <w:sz w:val="32"/>
          <w:szCs w:val="32"/>
          <w:lang w:val="en-US" w:eastAsia="zh-CN"/>
        </w:rPr>
        <w:t>持平</w:t>
      </w:r>
      <w:r>
        <w:rPr>
          <w:rFonts w:hint="eastAsia" w:ascii="仿宋_GB2312" w:hAnsi="仿宋_GB2312" w:eastAsia="仿宋_GB2312" w:cs="仿宋_GB2312"/>
          <w:sz w:val="32"/>
          <w:szCs w:val="32"/>
        </w:rPr>
        <w:t>的主要原因是202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年因公出国（境）预算由财政统留管理，未编列到年初部门预算中。根据市外办安排的因公出国计划和实际工作需要，经批准同意因公出国（境）的，所需指标由财政按实追加。</w:t>
      </w:r>
    </w:p>
    <w:p w14:paraId="4ADD6B0A">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2.公务接待费：</w:t>
      </w:r>
      <w:r>
        <w:rPr>
          <w:rFonts w:hint="eastAsia" w:ascii="仿宋_GB2312" w:hAnsi="仿宋_GB2312" w:eastAsia="仿宋_GB2312" w:cs="仿宋_GB2312"/>
          <w:sz w:val="32"/>
          <w:szCs w:val="32"/>
          <w:lang w:eastAsia="zh-CN"/>
        </w:rPr>
        <w:t>2025年</w:t>
      </w:r>
      <w:r>
        <w:rPr>
          <w:rFonts w:hint="eastAsia" w:ascii="仿宋_GB2312" w:hAnsi="仿宋_GB2312" w:eastAsia="仿宋_GB2312" w:cs="仿宋_GB2312"/>
          <w:sz w:val="32"/>
          <w:szCs w:val="32"/>
        </w:rPr>
        <w:t>安排公务接待费预算0.00万元，比上年预算数</w:t>
      </w:r>
      <w:r>
        <w:rPr>
          <w:rFonts w:hint="eastAsia" w:ascii="仿宋_GB2312" w:hAnsi="仿宋_GB2312" w:eastAsia="仿宋_GB2312"/>
          <w:sz w:val="32"/>
          <w:shd w:val="clear" w:color="auto" w:fill="FFFFFF"/>
          <w:lang w:val="en-US" w:eastAsia="zh-CN"/>
        </w:rPr>
        <w:t>持平</w:t>
      </w:r>
      <w:r>
        <w:rPr>
          <w:rFonts w:hint="eastAsia" w:ascii="仿宋_GB2312" w:hAnsi="仿宋_GB2312" w:eastAsia="仿宋_GB2312" w:cs="仿宋_GB2312"/>
          <w:sz w:val="32"/>
          <w:szCs w:val="32"/>
        </w:rPr>
        <w:t>。主要用于接待等支出。</w:t>
      </w:r>
      <w:r>
        <w:rPr>
          <w:rFonts w:hint="eastAsia" w:ascii="仿宋_GB2312" w:hAnsi="仿宋_GB2312" w:eastAsia="仿宋_GB2312" w:cs="仿宋_GB2312"/>
          <w:sz w:val="32"/>
          <w:szCs w:val="32"/>
          <w:lang w:val="en-US" w:eastAsia="zh-CN"/>
        </w:rPr>
        <w:t>持平</w:t>
      </w:r>
      <w:r>
        <w:rPr>
          <w:rFonts w:hint="eastAsia" w:ascii="仿宋_GB2312" w:hAnsi="仿宋_GB2312" w:eastAsia="仿宋_GB2312" w:cs="仿宋_GB2312"/>
          <w:sz w:val="32"/>
          <w:szCs w:val="32"/>
        </w:rPr>
        <w:t>的主要原因是</w:t>
      </w:r>
      <w:r>
        <w:rPr>
          <w:rFonts w:hint="eastAsia" w:ascii="仿宋_GB2312" w:hAnsi="仿宋_GB2312" w:eastAsia="仿宋_GB2312" w:cs="仿宋_GB2312"/>
          <w:sz w:val="32"/>
          <w:szCs w:val="32"/>
          <w:lang w:val="en-US" w:eastAsia="zh-CN"/>
        </w:rPr>
        <w:t>本年无一般公共预算安排的公务接待费</w:t>
      </w:r>
      <w:r>
        <w:rPr>
          <w:rFonts w:hint="eastAsia" w:ascii="仿宋_GB2312" w:hAnsi="仿宋_GB2312" w:eastAsia="仿宋_GB2312" w:cs="仿宋_GB2312"/>
          <w:sz w:val="32"/>
          <w:szCs w:val="32"/>
        </w:rPr>
        <w:t>。</w:t>
      </w:r>
    </w:p>
    <w:p w14:paraId="0359F05C">
      <w:pPr>
        <w:pStyle w:val="16"/>
        <w:spacing w:line="520" w:lineRule="exact"/>
        <w:ind w:firstLine="640" w:firstLineChars="200"/>
        <w:rPr>
          <w:rFonts w:ascii="仿宋_GB2312" w:eastAsia="仿宋_GB2312"/>
          <w:b/>
          <w:bCs/>
          <w:sz w:val="32"/>
          <w:szCs w:val="32"/>
        </w:rPr>
      </w:pPr>
      <w:r>
        <w:rPr>
          <w:rFonts w:hint="eastAsia" w:ascii="仿宋_GB2312" w:eastAsia="仿宋_GB2312"/>
          <w:sz w:val="32"/>
          <w:szCs w:val="32"/>
        </w:rPr>
        <w:t>3.公务用车购置及运行维护费：</w:t>
      </w:r>
      <w:r>
        <w:rPr>
          <w:rFonts w:hint="eastAsia" w:ascii="仿宋_GB2312" w:eastAsia="仿宋_GB2312"/>
          <w:sz w:val="32"/>
          <w:szCs w:val="32"/>
          <w:lang w:eastAsia="zh-CN"/>
        </w:rPr>
        <w:t>2025年</w:t>
      </w:r>
      <w:r>
        <w:rPr>
          <w:rFonts w:hint="eastAsia" w:ascii="仿宋_GB2312" w:eastAsia="仿宋_GB2312"/>
          <w:sz w:val="32"/>
          <w:szCs w:val="32"/>
        </w:rPr>
        <w:t>安排公务用车购置及运行维护费预算0.00万元，比上年预算数</w:t>
      </w:r>
      <w:r>
        <w:rPr>
          <w:rFonts w:hint="eastAsia" w:ascii="仿宋_GB2312" w:eastAsia="仿宋_GB2312"/>
          <w:sz w:val="32"/>
          <w:szCs w:val="32"/>
          <w:lang w:val="en-US" w:eastAsia="zh-CN"/>
        </w:rPr>
        <w:t>持平</w:t>
      </w:r>
      <w:r>
        <w:rPr>
          <w:rFonts w:hint="eastAsia" w:ascii="仿宋_GB2312" w:eastAsia="仿宋_GB2312"/>
          <w:sz w:val="32"/>
          <w:szCs w:val="32"/>
          <w:highlight w:val="none"/>
        </w:rPr>
        <w:t>。其中，公务用车购置支出0.00万元（含购置税等附加费用），主要用于经批准购置的</w:t>
      </w:r>
      <w:r>
        <w:rPr>
          <w:rFonts w:hint="eastAsia" w:ascii="仿宋_GB2312" w:eastAsia="仿宋_GB2312"/>
          <w:color w:val="000000"/>
          <w:sz w:val="32"/>
          <w:szCs w:val="32"/>
          <w:highlight w:val="none"/>
          <w:lang w:val="en-US" w:eastAsia="zh-CN"/>
        </w:rPr>
        <w:t>0</w:t>
      </w:r>
      <w:r>
        <w:rPr>
          <w:rFonts w:hint="eastAsia" w:ascii="仿宋_GB2312" w:eastAsia="仿宋_GB2312"/>
          <w:sz w:val="32"/>
          <w:szCs w:val="32"/>
          <w:highlight w:val="none"/>
        </w:rPr>
        <w:t>辆公务用车，比上年预算数</w:t>
      </w:r>
      <w:r>
        <w:rPr>
          <w:rFonts w:hint="eastAsia" w:ascii="仿宋_GB2312" w:eastAsia="仿宋_GB2312"/>
          <w:sz w:val="32"/>
          <w:szCs w:val="32"/>
          <w:highlight w:val="none"/>
          <w:lang w:val="en-US" w:eastAsia="zh-CN"/>
        </w:rPr>
        <w:t>持平</w:t>
      </w:r>
      <w:r>
        <w:rPr>
          <w:rFonts w:hint="eastAsia" w:ascii="仿宋_GB2312" w:eastAsia="仿宋_GB2312"/>
          <w:sz w:val="32"/>
          <w:szCs w:val="32"/>
          <w:highlight w:val="none"/>
        </w:rPr>
        <w:t>，主要原因是</w:t>
      </w:r>
      <w:r>
        <w:rPr>
          <w:rFonts w:hint="eastAsia" w:ascii="仿宋_GB2312" w:eastAsia="仿宋_GB2312"/>
          <w:sz w:val="32"/>
          <w:szCs w:val="32"/>
          <w:highlight w:val="none"/>
          <w:lang w:val="en-US" w:eastAsia="zh-CN"/>
        </w:rPr>
        <w:t>本年无一般公共预算公务用车购置安排</w:t>
      </w:r>
      <w:r>
        <w:rPr>
          <w:rFonts w:hint="eastAsia" w:ascii="仿宋_GB2312" w:eastAsia="仿宋_GB2312"/>
          <w:sz w:val="32"/>
          <w:szCs w:val="32"/>
          <w:highlight w:val="none"/>
        </w:rPr>
        <w:t>；公务用车运行维护费支出0.00万元，主要用于公务用车燃料费、新能源汽车充电费、维修费、过桥过路费、保险费、安全奖励费用等支出。比上年预算数</w:t>
      </w:r>
      <w:r>
        <w:rPr>
          <w:rFonts w:hint="eastAsia" w:ascii="仿宋_GB2312" w:eastAsia="仿宋_GB2312"/>
          <w:sz w:val="32"/>
          <w:szCs w:val="32"/>
          <w:highlight w:val="none"/>
          <w:lang w:val="en-US" w:eastAsia="zh-CN"/>
        </w:rPr>
        <w:t>持平</w:t>
      </w:r>
      <w:r>
        <w:rPr>
          <w:rFonts w:hint="eastAsia" w:ascii="仿宋_GB2312" w:eastAsia="仿宋_GB2312"/>
          <w:sz w:val="32"/>
          <w:szCs w:val="32"/>
          <w:highlight w:val="none"/>
        </w:rPr>
        <w:t>，主要原因是</w:t>
      </w:r>
      <w:r>
        <w:rPr>
          <w:rFonts w:hint="eastAsia" w:ascii="仿宋_GB2312" w:eastAsia="仿宋_GB2312"/>
          <w:sz w:val="32"/>
          <w:szCs w:val="32"/>
          <w:highlight w:val="none"/>
          <w:lang w:val="en-US" w:eastAsia="zh-CN"/>
        </w:rPr>
        <w:t>本年无一般公共预算安排的公务用车运行维护费</w:t>
      </w:r>
      <w:r>
        <w:rPr>
          <w:rFonts w:hint="eastAsia" w:ascii="仿宋_GB2312" w:eastAsia="仿宋_GB2312"/>
          <w:sz w:val="32"/>
          <w:szCs w:val="32"/>
          <w:highlight w:val="none"/>
        </w:rPr>
        <w:t>。</w:t>
      </w:r>
    </w:p>
    <w:p w14:paraId="26ABBEE7">
      <w:pPr>
        <w:spacing w:line="520" w:lineRule="exact"/>
        <w:ind w:firstLine="627" w:firstLineChars="196"/>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（十）其他重要事项的情况说明</w:t>
      </w:r>
    </w:p>
    <w:p w14:paraId="3F8623B1">
      <w:pPr>
        <w:pStyle w:val="16"/>
        <w:numPr>
          <w:ilvl w:val="0"/>
          <w:numId w:val="0"/>
        </w:numPr>
        <w:spacing w:line="520" w:lineRule="exact"/>
        <w:ind w:firstLine="643" w:firstLineChars="200"/>
        <w:rPr>
          <w:rFonts w:hint="eastAsia" w:ascii="仿宋_GB2312" w:hAnsi="Times New Roman" w:eastAsia="仿宋_GB2312" w:cs="Times New Roman"/>
          <w:b/>
          <w:bCs/>
          <w:sz w:val="32"/>
          <w:szCs w:val="32"/>
          <w:lang w:val="en-US" w:eastAsia="zh-CN"/>
        </w:rPr>
      </w:pPr>
      <w:r>
        <w:rPr>
          <w:rFonts w:hint="eastAsia" w:ascii="仿宋_GB2312" w:hAnsi="Times New Roman" w:eastAsia="仿宋_GB2312" w:cs="Times New Roman"/>
          <w:b/>
          <w:bCs/>
          <w:sz w:val="32"/>
          <w:szCs w:val="32"/>
          <w:lang w:val="en-US" w:eastAsia="zh-CN"/>
        </w:rPr>
        <w:t>1.政府采购情况。</w:t>
      </w:r>
    </w:p>
    <w:p w14:paraId="570F7424">
      <w:pPr>
        <w:pStyle w:val="16"/>
        <w:spacing w:line="520" w:lineRule="exact"/>
        <w:ind w:firstLine="640" w:firstLineChars="200"/>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2026年丽水职业技术学院各单位政府采购预算总额161.40万元，其中：政府采购货物预算161.40万元、政府采购工程预算0.00万元、政府采购服务预算0.00万元。</w:t>
      </w:r>
    </w:p>
    <w:p w14:paraId="6E73B518">
      <w:pPr>
        <w:pStyle w:val="16"/>
        <w:spacing w:line="520" w:lineRule="exact"/>
        <w:ind w:firstLine="643" w:firstLineChars="200"/>
        <w:rPr>
          <w:rFonts w:hint="eastAsia" w:ascii="仿宋_GB2312" w:hAnsi="Times New Roman" w:eastAsia="仿宋_GB2312" w:cs="Times New Roman"/>
          <w:b/>
          <w:bCs/>
          <w:sz w:val="32"/>
          <w:szCs w:val="32"/>
          <w:lang w:eastAsia="zh-CN"/>
        </w:rPr>
      </w:pPr>
      <w:r>
        <w:rPr>
          <w:rFonts w:hint="eastAsia" w:ascii="仿宋_GB2312" w:eastAsia="仿宋_GB2312" w:cs="Times New Roman"/>
          <w:b/>
          <w:bCs/>
          <w:sz w:val="32"/>
          <w:szCs w:val="32"/>
          <w:lang w:val="en-US" w:eastAsia="zh-CN"/>
        </w:rPr>
        <w:t>2</w:t>
      </w:r>
      <w:r>
        <w:rPr>
          <w:rFonts w:hint="eastAsia" w:ascii="仿宋_GB2312" w:hAnsi="Times New Roman" w:eastAsia="仿宋_GB2312" w:cs="Times New Roman"/>
          <w:b/>
          <w:bCs/>
          <w:sz w:val="32"/>
          <w:szCs w:val="32"/>
          <w:lang w:eastAsia="zh-CN"/>
        </w:rPr>
        <w:t>.国有资产占有使用情况。</w:t>
      </w:r>
    </w:p>
    <w:p w14:paraId="5F81C13D">
      <w:pPr>
        <w:pStyle w:val="16"/>
        <w:spacing w:line="52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截至2025年12月31日，丽水职业技术学院所属各预算单位共有车辆</w:t>
      </w:r>
      <w:r>
        <w:rPr>
          <w:rFonts w:hint="eastAsia" w:ascii="仿宋_GB2312" w:eastAsia="仿宋_GB2312" w:cs="Times New Roman"/>
          <w:color w:val="auto"/>
          <w:sz w:val="32"/>
          <w:szCs w:val="32"/>
          <w:lang w:val="en-US" w:eastAsia="zh-CN"/>
        </w:rPr>
        <w:t>2</w:t>
      </w:r>
      <w:r>
        <w:rPr>
          <w:rFonts w:hint="eastAsia" w:ascii="仿宋_GB2312" w:hAnsi="Times New Roman" w:eastAsia="仿宋_GB2312" w:cs="Times New Roman"/>
          <w:color w:val="auto"/>
          <w:sz w:val="32"/>
          <w:szCs w:val="32"/>
          <w:lang w:eastAsia="zh-CN"/>
        </w:rPr>
        <w:t>辆，其中，应急保障用车</w:t>
      </w:r>
      <w:r>
        <w:rPr>
          <w:rFonts w:hint="eastAsia" w:ascii="仿宋_GB2312" w:eastAsia="仿宋_GB2312" w:cs="Times New Roman"/>
          <w:color w:val="auto"/>
          <w:sz w:val="32"/>
          <w:szCs w:val="32"/>
          <w:lang w:val="en-US" w:eastAsia="zh-CN"/>
        </w:rPr>
        <w:t>0</w:t>
      </w:r>
      <w:r>
        <w:rPr>
          <w:rFonts w:hint="eastAsia" w:ascii="仿宋_GB2312" w:hAnsi="Times New Roman" w:eastAsia="仿宋_GB2312" w:cs="Times New Roman"/>
          <w:color w:val="auto"/>
          <w:sz w:val="32"/>
          <w:szCs w:val="32"/>
          <w:lang w:eastAsia="zh-CN"/>
        </w:rPr>
        <w:t>辆、老干部服务用车</w:t>
      </w:r>
      <w:r>
        <w:rPr>
          <w:rFonts w:hint="eastAsia" w:ascii="仿宋_GB2312" w:eastAsia="仿宋_GB2312" w:cs="Times New Roman"/>
          <w:color w:val="auto"/>
          <w:sz w:val="32"/>
          <w:szCs w:val="32"/>
          <w:lang w:val="en-US" w:eastAsia="zh-CN"/>
        </w:rPr>
        <w:t>0</w:t>
      </w:r>
      <w:r>
        <w:rPr>
          <w:rFonts w:hint="eastAsia" w:ascii="仿宋_GB2312" w:hAnsi="Times New Roman" w:eastAsia="仿宋_GB2312" w:cs="Times New Roman"/>
          <w:color w:val="auto"/>
          <w:sz w:val="32"/>
          <w:szCs w:val="32"/>
          <w:lang w:eastAsia="zh-CN"/>
        </w:rPr>
        <w:t>辆、执法执勤用车</w:t>
      </w:r>
      <w:r>
        <w:rPr>
          <w:rFonts w:hint="eastAsia" w:ascii="仿宋_GB2312" w:eastAsia="仿宋_GB2312" w:cs="Times New Roman"/>
          <w:color w:val="auto"/>
          <w:sz w:val="32"/>
          <w:szCs w:val="32"/>
          <w:lang w:val="en-US" w:eastAsia="zh-CN"/>
        </w:rPr>
        <w:t>0</w:t>
      </w:r>
      <w:r>
        <w:rPr>
          <w:rFonts w:hint="eastAsia" w:ascii="仿宋_GB2312" w:hAnsi="Times New Roman" w:eastAsia="仿宋_GB2312" w:cs="Times New Roman"/>
          <w:color w:val="auto"/>
          <w:sz w:val="32"/>
          <w:szCs w:val="32"/>
          <w:lang w:eastAsia="zh-CN"/>
        </w:rPr>
        <w:t>辆、特种专业技术用车</w:t>
      </w:r>
      <w:r>
        <w:rPr>
          <w:rFonts w:hint="eastAsia" w:ascii="仿宋_GB2312" w:eastAsia="仿宋_GB2312" w:cs="Times New Roman"/>
          <w:color w:val="auto"/>
          <w:sz w:val="32"/>
          <w:szCs w:val="32"/>
          <w:lang w:val="en-US" w:eastAsia="zh-CN"/>
        </w:rPr>
        <w:t>0</w:t>
      </w:r>
      <w:r>
        <w:rPr>
          <w:rFonts w:hint="eastAsia" w:ascii="仿宋_GB2312" w:hAnsi="Times New Roman" w:eastAsia="仿宋_GB2312" w:cs="Times New Roman"/>
          <w:color w:val="auto"/>
          <w:sz w:val="32"/>
          <w:szCs w:val="32"/>
          <w:lang w:eastAsia="zh-CN"/>
        </w:rPr>
        <w:t>辆、行政执法专用车</w:t>
      </w:r>
      <w:r>
        <w:rPr>
          <w:rFonts w:hint="eastAsia" w:ascii="仿宋_GB2312" w:eastAsia="仿宋_GB2312" w:cs="Times New Roman"/>
          <w:color w:val="auto"/>
          <w:sz w:val="32"/>
          <w:szCs w:val="32"/>
          <w:lang w:val="en-US" w:eastAsia="zh-CN"/>
        </w:rPr>
        <w:t>0</w:t>
      </w:r>
      <w:r>
        <w:rPr>
          <w:rFonts w:hint="eastAsia" w:ascii="仿宋_GB2312" w:hAnsi="Times New Roman" w:eastAsia="仿宋_GB2312" w:cs="Times New Roman"/>
          <w:color w:val="auto"/>
          <w:sz w:val="32"/>
          <w:szCs w:val="32"/>
          <w:lang w:eastAsia="zh-CN"/>
        </w:rPr>
        <w:t>辆、其他用车</w:t>
      </w:r>
      <w:r>
        <w:rPr>
          <w:rFonts w:hint="eastAsia" w:ascii="仿宋_GB2312" w:eastAsia="仿宋_GB2312" w:cs="Times New Roman"/>
          <w:color w:val="auto"/>
          <w:sz w:val="32"/>
          <w:szCs w:val="32"/>
          <w:lang w:val="en-US" w:eastAsia="zh-CN"/>
        </w:rPr>
        <w:t>2</w:t>
      </w:r>
      <w:r>
        <w:rPr>
          <w:rFonts w:hint="eastAsia" w:ascii="仿宋_GB2312" w:hAnsi="Times New Roman" w:eastAsia="仿宋_GB2312" w:cs="Times New Roman"/>
          <w:color w:val="auto"/>
          <w:sz w:val="32"/>
          <w:szCs w:val="32"/>
          <w:lang w:eastAsia="zh-CN"/>
        </w:rPr>
        <w:t>辆。单位价值100万元以上设备</w:t>
      </w:r>
      <w:r>
        <w:rPr>
          <w:rFonts w:hint="eastAsia" w:ascii="仿宋_GB2312" w:eastAsia="仿宋_GB2312" w:cs="Times New Roman"/>
          <w:color w:val="auto"/>
          <w:sz w:val="32"/>
          <w:szCs w:val="32"/>
          <w:lang w:val="en-US" w:eastAsia="zh-CN"/>
        </w:rPr>
        <w:t>9</w:t>
      </w:r>
      <w:r>
        <w:rPr>
          <w:rFonts w:hint="eastAsia" w:ascii="仿宋_GB2312" w:hAnsi="Times New Roman" w:eastAsia="仿宋_GB2312" w:cs="Times New Roman"/>
          <w:color w:val="auto"/>
          <w:sz w:val="32"/>
          <w:szCs w:val="32"/>
          <w:lang w:eastAsia="zh-CN"/>
        </w:rPr>
        <w:t xml:space="preserve">台（套）。 </w:t>
      </w:r>
    </w:p>
    <w:p w14:paraId="39FEEFC8">
      <w:pPr>
        <w:pStyle w:val="16"/>
        <w:spacing w:line="52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2026年部门预算安排购置车辆</w:t>
      </w:r>
      <w:r>
        <w:rPr>
          <w:rFonts w:hint="eastAsia" w:ascii="仿宋_GB2312" w:eastAsia="仿宋_GB2312" w:cs="Times New Roman"/>
          <w:color w:val="auto"/>
          <w:sz w:val="32"/>
          <w:szCs w:val="32"/>
          <w:lang w:val="en-US" w:eastAsia="zh-CN"/>
        </w:rPr>
        <w:t>0</w:t>
      </w:r>
      <w:r>
        <w:rPr>
          <w:rFonts w:hint="eastAsia" w:ascii="仿宋_GB2312" w:hAnsi="Times New Roman" w:eastAsia="仿宋_GB2312" w:cs="Times New Roman"/>
          <w:color w:val="auto"/>
          <w:sz w:val="32"/>
          <w:szCs w:val="32"/>
          <w:lang w:eastAsia="zh-CN"/>
        </w:rPr>
        <w:t>辆，其中，应急保障用车</w:t>
      </w:r>
      <w:r>
        <w:rPr>
          <w:rFonts w:hint="eastAsia" w:ascii="仿宋_GB2312" w:eastAsia="仿宋_GB2312" w:cs="Times New Roman"/>
          <w:color w:val="auto"/>
          <w:sz w:val="32"/>
          <w:szCs w:val="32"/>
          <w:lang w:val="en-US" w:eastAsia="zh-CN"/>
        </w:rPr>
        <w:t>0</w:t>
      </w:r>
      <w:r>
        <w:rPr>
          <w:rFonts w:hint="eastAsia" w:ascii="仿宋_GB2312" w:hAnsi="Times New Roman" w:eastAsia="仿宋_GB2312" w:cs="Times New Roman"/>
          <w:color w:val="auto"/>
          <w:sz w:val="32"/>
          <w:szCs w:val="32"/>
          <w:lang w:eastAsia="zh-CN"/>
        </w:rPr>
        <w:t>辆、执法执勤用车</w:t>
      </w:r>
      <w:r>
        <w:rPr>
          <w:rFonts w:hint="eastAsia" w:ascii="仿宋_GB2312" w:eastAsia="仿宋_GB2312" w:cs="Times New Roman"/>
          <w:color w:val="auto"/>
          <w:sz w:val="32"/>
          <w:szCs w:val="32"/>
          <w:lang w:val="en-US" w:eastAsia="zh-CN"/>
        </w:rPr>
        <w:t>0</w:t>
      </w:r>
      <w:r>
        <w:rPr>
          <w:rFonts w:hint="eastAsia" w:ascii="仿宋_GB2312" w:hAnsi="Times New Roman" w:eastAsia="仿宋_GB2312" w:cs="Times New Roman"/>
          <w:color w:val="auto"/>
          <w:sz w:val="32"/>
          <w:szCs w:val="32"/>
          <w:lang w:eastAsia="zh-CN"/>
        </w:rPr>
        <w:t>辆、特种专业技术用车</w:t>
      </w:r>
      <w:r>
        <w:rPr>
          <w:rFonts w:hint="eastAsia" w:ascii="仿宋_GB2312" w:eastAsia="仿宋_GB2312" w:cs="Times New Roman"/>
          <w:color w:val="auto"/>
          <w:sz w:val="32"/>
          <w:szCs w:val="32"/>
          <w:lang w:val="en-US" w:eastAsia="zh-CN"/>
        </w:rPr>
        <w:t>0</w:t>
      </w:r>
      <w:r>
        <w:rPr>
          <w:rFonts w:hint="eastAsia" w:ascii="仿宋_GB2312" w:hAnsi="Times New Roman" w:eastAsia="仿宋_GB2312" w:cs="Times New Roman"/>
          <w:color w:val="auto"/>
          <w:sz w:val="32"/>
          <w:szCs w:val="32"/>
          <w:lang w:eastAsia="zh-CN"/>
        </w:rPr>
        <w:t>辆、老干部服务用车</w:t>
      </w:r>
      <w:r>
        <w:rPr>
          <w:rFonts w:hint="eastAsia" w:ascii="仿宋_GB2312" w:eastAsia="仿宋_GB2312" w:cs="Times New Roman"/>
          <w:color w:val="auto"/>
          <w:sz w:val="32"/>
          <w:szCs w:val="32"/>
          <w:lang w:val="en-US" w:eastAsia="zh-CN"/>
        </w:rPr>
        <w:t>0</w:t>
      </w:r>
      <w:r>
        <w:rPr>
          <w:rFonts w:hint="eastAsia" w:ascii="仿宋_GB2312" w:hAnsi="Times New Roman" w:eastAsia="仿宋_GB2312" w:cs="Times New Roman"/>
          <w:color w:val="auto"/>
          <w:sz w:val="32"/>
          <w:szCs w:val="32"/>
          <w:lang w:eastAsia="zh-CN"/>
        </w:rPr>
        <w:t>辆、行政执法专用车</w:t>
      </w:r>
      <w:r>
        <w:rPr>
          <w:rFonts w:hint="eastAsia" w:ascii="仿宋_GB2312" w:eastAsia="仿宋_GB2312" w:cs="Times New Roman"/>
          <w:color w:val="auto"/>
          <w:sz w:val="32"/>
          <w:szCs w:val="32"/>
          <w:lang w:val="en-US" w:eastAsia="zh-CN"/>
        </w:rPr>
        <w:t>0</w:t>
      </w:r>
      <w:r>
        <w:rPr>
          <w:rFonts w:hint="eastAsia" w:ascii="仿宋_GB2312" w:hAnsi="Times New Roman" w:eastAsia="仿宋_GB2312" w:cs="Times New Roman"/>
          <w:color w:val="auto"/>
          <w:sz w:val="32"/>
          <w:szCs w:val="32"/>
          <w:lang w:eastAsia="zh-CN"/>
        </w:rPr>
        <w:t>辆、其他用车</w:t>
      </w:r>
      <w:r>
        <w:rPr>
          <w:rFonts w:hint="eastAsia" w:ascii="仿宋_GB2312" w:eastAsia="仿宋_GB2312" w:cs="Times New Roman"/>
          <w:color w:val="auto"/>
          <w:sz w:val="32"/>
          <w:szCs w:val="32"/>
          <w:lang w:val="en-US" w:eastAsia="zh-CN"/>
        </w:rPr>
        <w:t>0</w:t>
      </w:r>
      <w:r>
        <w:rPr>
          <w:rFonts w:hint="eastAsia" w:ascii="仿宋_GB2312" w:hAnsi="Times New Roman" w:eastAsia="仿宋_GB2312" w:cs="Times New Roman"/>
          <w:color w:val="auto"/>
          <w:sz w:val="32"/>
          <w:szCs w:val="32"/>
          <w:lang w:eastAsia="zh-CN"/>
        </w:rPr>
        <w:t>辆。2026年部门预算安排购置单位价值100万元以上设备</w:t>
      </w:r>
      <w:r>
        <w:rPr>
          <w:rFonts w:hint="eastAsia" w:ascii="仿宋_GB2312" w:eastAsia="仿宋_GB2312" w:cs="Times New Roman"/>
          <w:color w:val="auto"/>
          <w:sz w:val="32"/>
          <w:szCs w:val="32"/>
          <w:lang w:val="en-US" w:eastAsia="zh-CN"/>
        </w:rPr>
        <w:t>0</w:t>
      </w:r>
      <w:r>
        <w:rPr>
          <w:rFonts w:hint="eastAsia" w:ascii="仿宋_GB2312" w:hAnsi="Times New Roman" w:eastAsia="仿宋_GB2312" w:cs="Times New Roman"/>
          <w:color w:val="auto"/>
          <w:sz w:val="32"/>
          <w:szCs w:val="32"/>
          <w:lang w:eastAsia="zh-CN"/>
        </w:rPr>
        <w:t>台（套）。</w:t>
      </w:r>
    </w:p>
    <w:p w14:paraId="0CCA1118">
      <w:pPr>
        <w:pStyle w:val="16"/>
        <w:spacing w:line="520" w:lineRule="exact"/>
        <w:ind w:firstLine="643" w:firstLineChars="200"/>
        <w:rPr>
          <w:rFonts w:hint="eastAsia" w:ascii="仿宋_GB2312" w:eastAsia="仿宋_GB2312" w:cs="Times New Roman"/>
          <w:b/>
          <w:bCs/>
          <w:sz w:val="32"/>
          <w:szCs w:val="32"/>
          <w:lang w:val="en-US" w:eastAsia="zh-CN"/>
        </w:rPr>
      </w:pPr>
      <w:r>
        <w:rPr>
          <w:rFonts w:hint="eastAsia" w:ascii="仿宋_GB2312" w:eastAsia="仿宋_GB2312" w:cs="Times New Roman"/>
          <w:b/>
          <w:bCs/>
          <w:sz w:val="32"/>
          <w:szCs w:val="32"/>
          <w:lang w:val="en-US" w:eastAsia="zh-CN"/>
        </w:rPr>
        <w:t>3.预算绩效情况说明。</w:t>
      </w:r>
    </w:p>
    <w:p w14:paraId="1FBE8F90">
      <w:pPr>
        <w:pStyle w:val="16"/>
        <w:spacing w:line="520" w:lineRule="exact"/>
        <w:ind w:firstLine="640" w:firstLineChars="200"/>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2026年丽水职业技术学院其他运转类项目和特定目标类项目均实行绩效目标管理，共计2个一级项目，涉及当年资金16410.83万元。同时，将按照相关制度规定开展绩效自评。一级项目绩效目标表，详见“部门项目支出绩效表”。</w:t>
      </w:r>
    </w:p>
    <w:p w14:paraId="249A3A5E">
      <w:pPr>
        <w:pStyle w:val="16"/>
        <w:spacing w:line="520" w:lineRule="exact"/>
        <w:ind w:firstLine="640" w:firstLineChars="200"/>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4.预算绩效情况说明。</w:t>
      </w:r>
    </w:p>
    <w:p w14:paraId="2D65D897">
      <w:pPr>
        <w:pStyle w:val="16"/>
        <w:spacing w:line="520" w:lineRule="exact"/>
        <w:ind w:firstLine="640" w:firstLineChars="200"/>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2026年丽水职业技术学院其他运转类项目和特定目标类项目均实行绩效目标管理，共计2个一级项目，涉及当年资金16410.83万元。同时，将按照相关制度规定开展绩效自评。一级项目绩效目标表，详见“部门项目支出绩效表”。</w:t>
      </w:r>
    </w:p>
    <w:p w14:paraId="3FB3FF3F">
      <w:pPr>
        <w:pStyle w:val="16"/>
        <w:spacing w:line="520" w:lineRule="exact"/>
        <w:ind w:firstLine="640" w:firstLineChars="200"/>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5.委托业务费安排情况</w:t>
      </w:r>
    </w:p>
    <w:p w14:paraId="7A8D1481">
      <w:pPr>
        <w:pStyle w:val="16"/>
        <w:spacing w:line="520" w:lineRule="exact"/>
        <w:ind w:firstLine="640" w:firstLineChars="200"/>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2026年丽水职业技术学院委托业务费财政拨款当年预算总额0.00万元。</w:t>
      </w:r>
      <w:bookmarkStart w:id="0" w:name="_GoBack"/>
      <w:bookmarkEnd w:id="0"/>
    </w:p>
    <w:p w14:paraId="0E558B00">
      <w:pPr>
        <w:pStyle w:val="16"/>
        <w:spacing w:line="520" w:lineRule="exact"/>
        <w:ind w:firstLine="640" w:firstLineChars="200"/>
        <w:rPr>
          <w:rFonts w:ascii="黑体" w:hAnsi="黑体" w:eastAsia="黑体" w:cs="黑体"/>
          <w:bCs/>
          <w:kern w:val="2"/>
          <w:sz w:val="32"/>
          <w:szCs w:val="32"/>
        </w:rPr>
      </w:pPr>
      <w:r>
        <w:rPr>
          <w:rFonts w:hint="eastAsia" w:ascii="黑体" w:hAnsi="黑体" w:eastAsia="黑体" w:cs="黑体"/>
          <w:bCs/>
          <w:kern w:val="2"/>
          <w:sz w:val="32"/>
          <w:szCs w:val="32"/>
        </w:rPr>
        <w:t>三、名词解释</w:t>
      </w:r>
    </w:p>
    <w:p w14:paraId="56E59FD7">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1.财政拨款收入：本级财政部门当年拨付的财政预算资金，包括一般公共预算财政拨款</w:t>
      </w:r>
      <w:r>
        <w:rPr>
          <w:rFonts w:hint="eastAsia" w:ascii="仿宋_GB2312" w:eastAsia="仿宋_GB2312"/>
          <w:color w:val="000000"/>
          <w:sz w:val="32"/>
          <w:szCs w:val="32"/>
        </w:rPr>
        <w:t>、</w:t>
      </w:r>
      <w:r>
        <w:rPr>
          <w:rFonts w:hint="eastAsia" w:ascii="仿宋_GB2312" w:hAnsi="仿宋_GB2312" w:eastAsia="仿宋_GB2312" w:cs="仿宋_GB2312"/>
          <w:sz w:val="32"/>
          <w:szCs w:val="32"/>
        </w:rPr>
        <w:t>政府性基金预算和国有资本经营预算财政拨款。</w:t>
      </w:r>
    </w:p>
    <w:p w14:paraId="633C827C">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2.财政专户管理资金:教育收费作为本部门的事业收入，纳入财政专户管理的资金。</w:t>
      </w:r>
    </w:p>
    <w:p w14:paraId="32E78581">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.事业单位经营收入：事业单位在专业业务活动及辅助活动之外开展非独立核算经营活动取得的收入。</w:t>
      </w:r>
    </w:p>
    <w:p w14:paraId="44D8F9B0">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.上年结转结余：包括财政拨款结转结余、财政专户管理结转结余和单位资金结转结余。</w:t>
      </w:r>
    </w:p>
    <w:p w14:paraId="2406020D">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.基本支出：是预算单位为保障其正常运转，完成日常工作任务所发生的支出，包括人员支出和日常公用支出。</w:t>
      </w:r>
    </w:p>
    <w:p w14:paraId="29538F9D">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.项目支出：是预算单位为完成其特定的行政工作任务或事业发展目标所发生的支出。</w:t>
      </w:r>
    </w:p>
    <w:p w14:paraId="7E56A93F">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.“三公”经费：纳入财政预决算管理的“三公”经费，是指部门用一般公共预算财政拨款安排的因公出国（境）费</w:t>
      </w:r>
      <w:r>
        <w:rPr>
          <w:rFonts w:hint="eastAsia" w:ascii="仿宋_GB2312" w:hAnsi="仿宋_GB2312" w:eastAsia="仿宋_GB2312" w:cs="仿宋_GB2312"/>
          <w:sz w:val="32"/>
          <w:szCs w:val="32"/>
          <w:lang w:val="en-US" w:eastAsia="zh-CN"/>
        </w:rPr>
        <w:t>用</w:t>
      </w:r>
      <w:r>
        <w:rPr>
          <w:rFonts w:hint="eastAsia" w:ascii="仿宋_GB2312" w:hAnsi="仿宋_GB2312" w:eastAsia="仿宋_GB2312" w:cs="仿宋_GB2312"/>
          <w:sz w:val="32"/>
          <w:szCs w:val="32"/>
        </w:rPr>
        <w:t>、公务用车购置及运行费和公务接待费。其中，因公出国（境）费</w:t>
      </w:r>
      <w:r>
        <w:rPr>
          <w:rFonts w:hint="eastAsia" w:ascii="仿宋_GB2312" w:hAnsi="仿宋_GB2312" w:eastAsia="仿宋_GB2312" w:cs="仿宋_GB2312"/>
          <w:sz w:val="32"/>
          <w:szCs w:val="32"/>
          <w:lang w:val="en-US" w:eastAsia="zh-CN"/>
        </w:rPr>
        <w:t>用</w:t>
      </w:r>
      <w:r>
        <w:rPr>
          <w:rFonts w:hint="eastAsia" w:ascii="仿宋_GB2312" w:hAnsi="仿宋_GB2312" w:eastAsia="仿宋_GB2312" w:cs="仿宋_GB2312"/>
          <w:sz w:val="32"/>
          <w:szCs w:val="32"/>
        </w:rPr>
        <w:t>反映单位公务出国（境）的国际旅费、国外城市间交通费、住宿费、伙食费、培训费、公杂费等支出，不含教学科研人员学术交流出国（境）费用；公务用车购置及运行费反映单位公务用车车辆购置支出（含车辆购置税）及燃料费、新能源汽车充电费、维修费、过桥过路费、保险费、安全奖励费用等支出；公务接待费反映单位按规定开支的各类公务接待（含外宾接待）支出。</w:t>
      </w:r>
    </w:p>
    <w:p w14:paraId="2829B2F0">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.教育支出（类）职业教育（款）高等职业教育（项）：指各部门举办的本科、专科层次职业教育支出。政府各部门对社会组织</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举办的本科、专科层次职业院校的资助，如捐赠、补贴等，也在本科目中反映。</w:t>
      </w:r>
    </w:p>
    <w:p w14:paraId="15C8BC18">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.教育支出（类）教育费附加安排的支出（款）其他教育费附加安排的支出（项）：指反映上述项目以外的教育费附加支出。</w:t>
      </w:r>
    </w:p>
    <w:p w14:paraId="2A4B03AF">
      <w:pPr>
        <w:pStyle w:val="2"/>
        <w:keepNext w:val="0"/>
        <w:keepLines w:val="0"/>
        <w:pageBreakBefore w:val="0"/>
        <w:widowControl w:val="0"/>
        <w:kinsoku/>
        <w:wordWrap/>
        <w:overflowPunct/>
        <w:topLinePunct w:val="0"/>
        <w:autoSpaceDE w:val="0"/>
        <w:autoSpaceDN w:val="0"/>
        <w:bidi w:val="0"/>
        <w:adjustRightInd w:val="0"/>
        <w:snapToGrid/>
        <w:spacing w:line="520" w:lineRule="exact"/>
        <w:ind w:firstLine="640" w:firstLineChars="200"/>
        <w:textAlignment w:val="auto"/>
        <w:rPr>
          <w:rFonts w:hint="eastAsia" w:cs="仿宋_GB2312"/>
          <w:sz w:val="32"/>
          <w:szCs w:val="32"/>
          <w:lang w:val="en-US" w:eastAsia="zh-CN"/>
        </w:rPr>
      </w:pPr>
      <w:r>
        <w:rPr>
          <w:rFonts w:hint="eastAsia" w:cs="仿宋_GB2312"/>
          <w:sz w:val="32"/>
          <w:szCs w:val="32"/>
          <w:lang w:val="en-US" w:eastAsia="zh-CN"/>
        </w:rPr>
        <w:t>10.科学技术支出（类）社会科学（款）社会科学研究（项）：指社科基金支出外的社会科学研究支出。</w:t>
      </w:r>
    </w:p>
    <w:p w14:paraId="5E45D0C3">
      <w:pPr>
        <w:pStyle w:val="2"/>
        <w:keepNext w:val="0"/>
        <w:keepLines w:val="0"/>
        <w:pageBreakBefore w:val="0"/>
        <w:widowControl w:val="0"/>
        <w:kinsoku/>
        <w:wordWrap/>
        <w:overflowPunct/>
        <w:topLinePunct w:val="0"/>
        <w:autoSpaceDE w:val="0"/>
        <w:autoSpaceDN w:val="0"/>
        <w:bidi w:val="0"/>
        <w:adjustRightInd w:val="0"/>
        <w:snapToGrid/>
        <w:spacing w:line="520" w:lineRule="exact"/>
        <w:ind w:firstLine="640" w:firstLineChars="200"/>
        <w:textAlignment w:val="auto"/>
        <w:rPr>
          <w:rFonts w:hint="eastAsia" w:cs="仿宋_GB2312"/>
          <w:sz w:val="32"/>
          <w:szCs w:val="32"/>
          <w:lang w:val="en-US" w:eastAsia="zh-CN"/>
        </w:rPr>
      </w:pPr>
      <w:r>
        <w:rPr>
          <w:rFonts w:hint="eastAsia" w:cs="仿宋_GB2312"/>
          <w:sz w:val="32"/>
          <w:szCs w:val="32"/>
          <w:lang w:val="en-US" w:eastAsia="zh-CN"/>
        </w:rPr>
        <w:t>11.城乡社区支出（类）国有土地使用权出让收入安排的支出（款）城市建设支出（项）：指反映土地出让收入用于完善国有土地使用功能的配套设施建设和城市基础设施建设支出。</w:t>
      </w:r>
    </w:p>
    <w:p w14:paraId="20FB509E">
      <w:pPr>
        <w:pStyle w:val="2"/>
        <w:keepNext w:val="0"/>
        <w:keepLines w:val="0"/>
        <w:pageBreakBefore w:val="0"/>
        <w:widowControl w:val="0"/>
        <w:kinsoku/>
        <w:wordWrap/>
        <w:overflowPunct/>
        <w:topLinePunct w:val="0"/>
        <w:autoSpaceDE w:val="0"/>
        <w:autoSpaceDN w:val="0"/>
        <w:bidi w:val="0"/>
        <w:adjustRightInd w:val="0"/>
        <w:snapToGrid/>
        <w:spacing w:line="520" w:lineRule="exact"/>
        <w:ind w:firstLine="640" w:firstLineChars="200"/>
        <w:textAlignment w:val="auto"/>
        <w:rPr>
          <w:rFonts w:hint="default" w:cs="仿宋_GB2312"/>
          <w:sz w:val="32"/>
          <w:szCs w:val="32"/>
          <w:lang w:val="en-US" w:eastAsia="zh-CN"/>
        </w:rPr>
      </w:pPr>
    </w:p>
    <w:p w14:paraId="2576A5D8">
      <w:pPr>
        <w:spacing w:line="520" w:lineRule="exact"/>
      </w:pPr>
    </w:p>
    <w:p w14:paraId="40786E52"/>
    <w:sectPr>
      <w:footerReference r:id="rId3" w:type="default"/>
      <w:pgSz w:w="11906" w:h="16838"/>
      <w:pgMar w:top="1440" w:right="1800" w:bottom="1440" w:left="1800" w:header="851" w:footer="992" w:gutter="0"/>
      <w:pgNumType w:start="6"/>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7BF69">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95A99C"/>
    <w:multiLevelType w:val="singleLevel"/>
    <w:tmpl w:val="5895A99C"/>
    <w:lvl w:ilvl="0" w:tentative="0">
      <w:start w:val="5"/>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53C"/>
    <w:rsid w:val="0002642F"/>
    <w:rsid w:val="00037FBA"/>
    <w:rsid w:val="00084C3B"/>
    <w:rsid w:val="000F6704"/>
    <w:rsid w:val="0014553D"/>
    <w:rsid w:val="00151805"/>
    <w:rsid w:val="0018453C"/>
    <w:rsid w:val="00225BBF"/>
    <w:rsid w:val="00233C98"/>
    <w:rsid w:val="0025199F"/>
    <w:rsid w:val="00262069"/>
    <w:rsid w:val="00262BFB"/>
    <w:rsid w:val="0029677C"/>
    <w:rsid w:val="002D46DD"/>
    <w:rsid w:val="002E190E"/>
    <w:rsid w:val="00312421"/>
    <w:rsid w:val="0034320B"/>
    <w:rsid w:val="0035041B"/>
    <w:rsid w:val="003533AA"/>
    <w:rsid w:val="00372A55"/>
    <w:rsid w:val="0039638D"/>
    <w:rsid w:val="003A54FF"/>
    <w:rsid w:val="003C7BA3"/>
    <w:rsid w:val="004B141E"/>
    <w:rsid w:val="004B1C55"/>
    <w:rsid w:val="004C1A7E"/>
    <w:rsid w:val="004F65D0"/>
    <w:rsid w:val="004F6D96"/>
    <w:rsid w:val="0054517F"/>
    <w:rsid w:val="0055355B"/>
    <w:rsid w:val="00576237"/>
    <w:rsid w:val="005C2E6B"/>
    <w:rsid w:val="005E47B3"/>
    <w:rsid w:val="005E7D52"/>
    <w:rsid w:val="00655F61"/>
    <w:rsid w:val="00667EBC"/>
    <w:rsid w:val="006C39E2"/>
    <w:rsid w:val="006D5442"/>
    <w:rsid w:val="006D7FE3"/>
    <w:rsid w:val="006E0740"/>
    <w:rsid w:val="006E085B"/>
    <w:rsid w:val="006F455E"/>
    <w:rsid w:val="007072D9"/>
    <w:rsid w:val="0073245A"/>
    <w:rsid w:val="007715EF"/>
    <w:rsid w:val="007A0C65"/>
    <w:rsid w:val="007B431F"/>
    <w:rsid w:val="007E4CC3"/>
    <w:rsid w:val="007E5EFB"/>
    <w:rsid w:val="00801E01"/>
    <w:rsid w:val="00834DDF"/>
    <w:rsid w:val="00850DC9"/>
    <w:rsid w:val="00882C0A"/>
    <w:rsid w:val="0089440C"/>
    <w:rsid w:val="00916ABC"/>
    <w:rsid w:val="009415A1"/>
    <w:rsid w:val="009427F2"/>
    <w:rsid w:val="00943339"/>
    <w:rsid w:val="009444AA"/>
    <w:rsid w:val="009A7459"/>
    <w:rsid w:val="009B71E7"/>
    <w:rsid w:val="009C4B77"/>
    <w:rsid w:val="00A76362"/>
    <w:rsid w:val="00A86842"/>
    <w:rsid w:val="00AB2741"/>
    <w:rsid w:val="00AC7742"/>
    <w:rsid w:val="00B109C2"/>
    <w:rsid w:val="00B11C03"/>
    <w:rsid w:val="00B7532A"/>
    <w:rsid w:val="00BA6311"/>
    <w:rsid w:val="00C35F38"/>
    <w:rsid w:val="00C47BB8"/>
    <w:rsid w:val="00C52D1F"/>
    <w:rsid w:val="00C75827"/>
    <w:rsid w:val="00CA4684"/>
    <w:rsid w:val="00CE3F52"/>
    <w:rsid w:val="00D81B35"/>
    <w:rsid w:val="00DA6F5B"/>
    <w:rsid w:val="00DA7F84"/>
    <w:rsid w:val="00E16E78"/>
    <w:rsid w:val="00E20FB4"/>
    <w:rsid w:val="00E37BE0"/>
    <w:rsid w:val="00E40834"/>
    <w:rsid w:val="00E429D8"/>
    <w:rsid w:val="00E44C58"/>
    <w:rsid w:val="00E72378"/>
    <w:rsid w:val="00E925CD"/>
    <w:rsid w:val="00F23B56"/>
    <w:rsid w:val="00F56A05"/>
    <w:rsid w:val="00F6374C"/>
    <w:rsid w:val="00F7116F"/>
    <w:rsid w:val="00F73C07"/>
    <w:rsid w:val="00F82550"/>
    <w:rsid w:val="00FB1AD5"/>
    <w:rsid w:val="01405C62"/>
    <w:rsid w:val="015C0D77"/>
    <w:rsid w:val="01F263DB"/>
    <w:rsid w:val="024C6702"/>
    <w:rsid w:val="02632622"/>
    <w:rsid w:val="026505B4"/>
    <w:rsid w:val="028630A1"/>
    <w:rsid w:val="03497EAB"/>
    <w:rsid w:val="03726617"/>
    <w:rsid w:val="03AA3E3B"/>
    <w:rsid w:val="03EA5C50"/>
    <w:rsid w:val="05054F3D"/>
    <w:rsid w:val="05227854"/>
    <w:rsid w:val="05237BC9"/>
    <w:rsid w:val="0538011A"/>
    <w:rsid w:val="054D0FA3"/>
    <w:rsid w:val="05F46152"/>
    <w:rsid w:val="05F835B0"/>
    <w:rsid w:val="063B27DE"/>
    <w:rsid w:val="065E25EC"/>
    <w:rsid w:val="06835E42"/>
    <w:rsid w:val="06FC7ED4"/>
    <w:rsid w:val="07623DA7"/>
    <w:rsid w:val="077B34F3"/>
    <w:rsid w:val="07907D66"/>
    <w:rsid w:val="081119C7"/>
    <w:rsid w:val="081A0728"/>
    <w:rsid w:val="08DE4DFD"/>
    <w:rsid w:val="08FE14ED"/>
    <w:rsid w:val="09002112"/>
    <w:rsid w:val="096575C9"/>
    <w:rsid w:val="09A70EAA"/>
    <w:rsid w:val="09C31824"/>
    <w:rsid w:val="0A1D1E06"/>
    <w:rsid w:val="0A4C7CCD"/>
    <w:rsid w:val="0A621193"/>
    <w:rsid w:val="0A6953F7"/>
    <w:rsid w:val="0A973332"/>
    <w:rsid w:val="0AB6328D"/>
    <w:rsid w:val="0B486D9D"/>
    <w:rsid w:val="0BD448F3"/>
    <w:rsid w:val="0C7B7749"/>
    <w:rsid w:val="0CE2397A"/>
    <w:rsid w:val="0CEE5818"/>
    <w:rsid w:val="0DDF3EA9"/>
    <w:rsid w:val="0F0A0BC6"/>
    <w:rsid w:val="0F3E23E2"/>
    <w:rsid w:val="0F5C4EB1"/>
    <w:rsid w:val="0F760C96"/>
    <w:rsid w:val="0F851054"/>
    <w:rsid w:val="0FFC24E5"/>
    <w:rsid w:val="10694EBB"/>
    <w:rsid w:val="1085571C"/>
    <w:rsid w:val="11387C8E"/>
    <w:rsid w:val="119C1C51"/>
    <w:rsid w:val="11F64BCE"/>
    <w:rsid w:val="124E1058"/>
    <w:rsid w:val="12970A77"/>
    <w:rsid w:val="12B72665"/>
    <w:rsid w:val="12D300E7"/>
    <w:rsid w:val="13725DAD"/>
    <w:rsid w:val="13811EEE"/>
    <w:rsid w:val="14EF3497"/>
    <w:rsid w:val="150D68D8"/>
    <w:rsid w:val="15202377"/>
    <w:rsid w:val="153B4AAC"/>
    <w:rsid w:val="153C45B3"/>
    <w:rsid w:val="15420797"/>
    <w:rsid w:val="157947AC"/>
    <w:rsid w:val="15DB09EF"/>
    <w:rsid w:val="15E27884"/>
    <w:rsid w:val="16270B89"/>
    <w:rsid w:val="1650535C"/>
    <w:rsid w:val="165642D9"/>
    <w:rsid w:val="16F374C9"/>
    <w:rsid w:val="17EC7FC1"/>
    <w:rsid w:val="17F81734"/>
    <w:rsid w:val="180D7344"/>
    <w:rsid w:val="18D04290"/>
    <w:rsid w:val="18EF3804"/>
    <w:rsid w:val="195C3A7E"/>
    <w:rsid w:val="1A14325B"/>
    <w:rsid w:val="1A2375F0"/>
    <w:rsid w:val="1A9C6906"/>
    <w:rsid w:val="1AC0275A"/>
    <w:rsid w:val="1B1D1342"/>
    <w:rsid w:val="1B2A6629"/>
    <w:rsid w:val="1B6E51E0"/>
    <w:rsid w:val="1BD37366"/>
    <w:rsid w:val="1C103D2D"/>
    <w:rsid w:val="1C1965EC"/>
    <w:rsid w:val="1C3D28C4"/>
    <w:rsid w:val="1C652CAB"/>
    <w:rsid w:val="1C7701B9"/>
    <w:rsid w:val="1D99665F"/>
    <w:rsid w:val="1E2850F6"/>
    <w:rsid w:val="1E5122F2"/>
    <w:rsid w:val="1E621D9B"/>
    <w:rsid w:val="1E6238F6"/>
    <w:rsid w:val="1E945AB3"/>
    <w:rsid w:val="1EBB0876"/>
    <w:rsid w:val="1EFB5835"/>
    <w:rsid w:val="2008260C"/>
    <w:rsid w:val="205247F6"/>
    <w:rsid w:val="20C21B5F"/>
    <w:rsid w:val="20D018DC"/>
    <w:rsid w:val="20D8491F"/>
    <w:rsid w:val="217D79B3"/>
    <w:rsid w:val="219B3B12"/>
    <w:rsid w:val="21F8300E"/>
    <w:rsid w:val="22632C64"/>
    <w:rsid w:val="22A22428"/>
    <w:rsid w:val="22D155B4"/>
    <w:rsid w:val="22D4227E"/>
    <w:rsid w:val="22E660A6"/>
    <w:rsid w:val="22FA27EC"/>
    <w:rsid w:val="230477A4"/>
    <w:rsid w:val="234550B7"/>
    <w:rsid w:val="23565231"/>
    <w:rsid w:val="2384696C"/>
    <w:rsid w:val="23B968AE"/>
    <w:rsid w:val="240772FF"/>
    <w:rsid w:val="24095A63"/>
    <w:rsid w:val="24183DF0"/>
    <w:rsid w:val="247778DD"/>
    <w:rsid w:val="247A77A8"/>
    <w:rsid w:val="2492204D"/>
    <w:rsid w:val="24D6630F"/>
    <w:rsid w:val="24F84929"/>
    <w:rsid w:val="257B506C"/>
    <w:rsid w:val="25DE1005"/>
    <w:rsid w:val="25E7758C"/>
    <w:rsid w:val="25F31947"/>
    <w:rsid w:val="260A1E20"/>
    <w:rsid w:val="26386A68"/>
    <w:rsid w:val="26816946"/>
    <w:rsid w:val="26DB7398"/>
    <w:rsid w:val="2705728B"/>
    <w:rsid w:val="27111B1F"/>
    <w:rsid w:val="27417BF8"/>
    <w:rsid w:val="27693B45"/>
    <w:rsid w:val="27E22CAD"/>
    <w:rsid w:val="283A129B"/>
    <w:rsid w:val="28C67844"/>
    <w:rsid w:val="28E619B2"/>
    <w:rsid w:val="294F0255"/>
    <w:rsid w:val="29DF16A7"/>
    <w:rsid w:val="29F74F67"/>
    <w:rsid w:val="2A484907"/>
    <w:rsid w:val="2B755902"/>
    <w:rsid w:val="2BA81833"/>
    <w:rsid w:val="2BAC3F70"/>
    <w:rsid w:val="2BB62055"/>
    <w:rsid w:val="2BDB7C6F"/>
    <w:rsid w:val="2BE8286B"/>
    <w:rsid w:val="2C56166B"/>
    <w:rsid w:val="2C772798"/>
    <w:rsid w:val="2CC5167C"/>
    <w:rsid w:val="2CDD3333"/>
    <w:rsid w:val="2CE33635"/>
    <w:rsid w:val="2D391980"/>
    <w:rsid w:val="2DE95528"/>
    <w:rsid w:val="2ED263DE"/>
    <w:rsid w:val="2EDC147D"/>
    <w:rsid w:val="2F312BD6"/>
    <w:rsid w:val="2F4F315F"/>
    <w:rsid w:val="2F5260FE"/>
    <w:rsid w:val="30780EC9"/>
    <w:rsid w:val="309E79BA"/>
    <w:rsid w:val="31C46552"/>
    <w:rsid w:val="31EC7268"/>
    <w:rsid w:val="32691E0F"/>
    <w:rsid w:val="33722AF4"/>
    <w:rsid w:val="339F5B7F"/>
    <w:rsid w:val="345A4B8C"/>
    <w:rsid w:val="348C692F"/>
    <w:rsid w:val="34A77A31"/>
    <w:rsid w:val="34F20284"/>
    <w:rsid w:val="354F6355"/>
    <w:rsid w:val="3570347C"/>
    <w:rsid w:val="35AF46C7"/>
    <w:rsid w:val="35FC37F1"/>
    <w:rsid w:val="3619346A"/>
    <w:rsid w:val="366A31FB"/>
    <w:rsid w:val="369D13B4"/>
    <w:rsid w:val="37DD34EA"/>
    <w:rsid w:val="3859649B"/>
    <w:rsid w:val="386D2696"/>
    <w:rsid w:val="39103ACE"/>
    <w:rsid w:val="39227B1B"/>
    <w:rsid w:val="39406911"/>
    <w:rsid w:val="39850296"/>
    <w:rsid w:val="39C26750"/>
    <w:rsid w:val="3A1727BC"/>
    <w:rsid w:val="3A7F1D43"/>
    <w:rsid w:val="3A8D223E"/>
    <w:rsid w:val="3B291386"/>
    <w:rsid w:val="3B563038"/>
    <w:rsid w:val="3B80307E"/>
    <w:rsid w:val="3BCA7BD7"/>
    <w:rsid w:val="3C590387"/>
    <w:rsid w:val="3C6C37E2"/>
    <w:rsid w:val="3C7D1C3F"/>
    <w:rsid w:val="3C8D7B5B"/>
    <w:rsid w:val="3CFD6A0C"/>
    <w:rsid w:val="3DFD6C4B"/>
    <w:rsid w:val="3E431765"/>
    <w:rsid w:val="3E650982"/>
    <w:rsid w:val="3EDB13A4"/>
    <w:rsid w:val="400943B7"/>
    <w:rsid w:val="40143523"/>
    <w:rsid w:val="406B2735"/>
    <w:rsid w:val="4171469C"/>
    <w:rsid w:val="42C454C8"/>
    <w:rsid w:val="431A2687"/>
    <w:rsid w:val="43482ADF"/>
    <w:rsid w:val="43497E11"/>
    <w:rsid w:val="438C52D1"/>
    <w:rsid w:val="43AF1DC7"/>
    <w:rsid w:val="442360D8"/>
    <w:rsid w:val="450B3104"/>
    <w:rsid w:val="45374F70"/>
    <w:rsid w:val="45E922E2"/>
    <w:rsid w:val="46181B9F"/>
    <w:rsid w:val="46B73DB3"/>
    <w:rsid w:val="46B85A12"/>
    <w:rsid w:val="46C20ABF"/>
    <w:rsid w:val="471C5409"/>
    <w:rsid w:val="475E76EE"/>
    <w:rsid w:val="47645604"/>
    <w:rsid w:val="47AC0459"/>
    <w:rsid w:val="47B54AE2"/>
    <w:rsid w:val="48013092"/>
    <w:rsid w:val="484652C3"/>
    <w:rsid w:val="489E735B"/>
    <w:rsid w:val="48AA0CAC"/>
    <w:rsid w:val="48C71E58"/>
    <w:rsid w:val="48EF215B"/>
    <w:rsid w:val="492E7EB7"/>
    <w:rsid w:val="49547ADE"/>
    <w:rsid w:val="499358EA"/>
    <w:rsid w:val="4AB935E6"/>
    <w:rsid w:val="4B007DB1"/>
    <w:rsid w:val="4B1F601E"/>
    <w:rsid w:val="4B65339C"/>
    <w:rsid w:val="4BE2220E"/>
    <w:rsid w:val="4D097364"/>
    <w:rsid w:val="4D7808AB"/>
    <w:rsid w:val="4DC87963"/>
    <w:rsid w:val="4DEB1983"/>
    <w:rsid w:val="4EBD760D"/>
    <w:rsid w:val="4EED2017"/>
    <w:rsid w:val="4F0B2DEE"/>
    <w:rsid w:val="4F2B6097"/>
    <w:rsid w:val="4F2C30EB"/>
    <w:rsid w:val="4F2E2211"/>
    <w:rsid w:val="4F4E78CD"/>
    <w:rsid w:val="4FA62E1E"/>
    <w:rsid w:val="4FE85961"/>
    <w:rsid w:val="50341189"/>
    <w:rsid w:val="50837233"/>
    <w:rsid w:val="514C5668"/>
    <w:rsid w:val="51513799"/>
    <w:rsid w:val="518C29B6"/>
    <w:rsid w:val="51C74469"/>
    <w:rsid w:val="52170DB7"/>
    <w:rsid w:val="5219561D"/>
    <w:rsid w:val="52640F3F"/>
    <w:rsid w:val="52AA23A8"/>
    <w:rsid w:val="52B7187A"/>
    <w:rsid w:val="53A5465B"/>
    <w:rsid w:val="53B6028C"/>
    <w:rsid w:val="53DB4D25"/>
    <w:rsid w:val="54223F19"/>
    <w:rsid w:val="54392B16"/>
    <w:rsid w:val="54442E65"/>
    <w:rsid w:val="545B2AA1"/>
    <w:rsid w:val="549B5701"/>
    <w:rsid w:val="54A9277D"/>
    <w:rsid w:val="54B06B0D"/>
    <w:rsid w:val="553F16B7"/>
    <w:rsid w:val="558856A9"/>
    <w:rsid w:val="55CA2A9E"/>
    <w:rsid w:val="55E50F1B"/>
    <w:rsid w:val="565F6886"/>
    <w:rsid w:val="567813BA"/>
    <w:rsid w:val="56BC237C"/>
    <w:rsid w:val="56C00077"/>
    <w:rsid w:val="56CD4B4D"/>
    <w:rsid w:val="56E65062"/>
    <w:rsid w:val="575867DA"/>
    <w:rsid w:val="5798381B"/>
    <w:rsid w:val="585447AE"/>
    <w:rsid w:val="58EC4DE1"/>
    <w:rsid w:val="59EC6E24"/>
    <w:rsid w:val="5A0B2520"/>
    <w:rsid w:val="5A186813"/>
    <w:rsid w:val="5A3B2376"/>
    <w:rsid w:val="5A40591F"/>
    <w:rsid w:val="5A6F0692"/>
    <w:rsid w:val="5ABF2E42"/>
    <w:rsid w:val="5B586398"/>
    <w:rsid w:val="5B916903"/>
    <w:rsid w:val="5BEF472E"/>
    <w:rsid w:val="5C82220F"/>
    <w:rsid w:val="5C932202"/>
    <w:rsid w:val="5CC5085F"/>
    <w:rsid w:val="5CC87E6F"/>
    <w:rsid w:val="5CD918EA"/>
    <w:rsid w:val="5D247D3D"/>
    <w:rsid w:val="5DAE1AC9"/>
    <w:rsid w:val="5E153AF5"/>
    <w:rsid w:val="5E293727"/>
    <w:rsid w:val="5E7A2525"/>
    <w:rsid w:val="5F0E1E7F"/>
    <w:rsid w:val="5F112305"/>
    <w:rsid w:val="5F1476E7"/>
    <w:rsid w:val="5F213803"/>
    <w:rsid w:val="5F2767B3"/>
    <w:rsid w:val="5FE31F70"/>
    <w:rsid w:val="60045498"/>
    <w:rsid w:val="614C1844"/>
    <w:rsid w:val="614F46D3"/>
    <w:rsid w:val="617A6C2D"/>
    <w:rsid w:val="618968F0"/>
    <w:rsid w:val="619E6355"/>
    <w:rsid w:val="61BD64DA"/>
    <w:rsid w:val="6215384D"/>
    <w:rsid w:val="62AC06BC"/>
    <w:rsid w:val="633B4987"/>
    <w:rsid w:val="63525D55"/>
    <w:rsid w:val="64C20A08"/>
    <w:rsid w:val="64E24AB9"/>
    <w:rsid w:val="64F06443"/>
    <w:rsid w:val="65737FB9"/>
    <w:rsid w:val="657D23C7"/>
    <w:rsid w:val="65C63344"/>
    <w:rsid w:val="65DF5ECF"/>
    <w:rsid w:val="66974C7C"/>
    <w:rsid w:val="66A662C4"/>
    <w:rsid w:val="67222B8A"/>
    <w:rsid w:val="672C3603"/>
    <w:rsid w:val="679D182D"/>
    <w:rsid w:val="67BB6396"/>
    <w:rsid w:val="68197E1D"/>
    <w:rsid w:val="6838727B"/>
    <w:rsid w:val="685045A6"/>
    <w:rsid w:val="688621C1"/>
    <w:rsid w:val="68C15BDE"/>
    <w:rsid w:val="690130CE"/>
    <w:rsid w:val="699562A3"/>
    <w:rsid w:val="69DF102E"/>
    <w:rsid w:val="69E95327"/>
    <w:rsid w:val="6AD23ACD"/>
    <w:rsid w:val="6B315A81"/>
    <w:rsid w:val="6BA047ED"/>
    <w:rsid w:val="6C3F4637"/>
    <w:rsid w:val="6C9D07C7"/>
    <w:rsid w:val="6CB426A8"/>
    <w:rsid w:val="6D3835CD"/>
    <w:rsid w:val="6DDF18A8"/>
    <w:rsid w:val="6E605C41"/>
    <w:rsid w:val="6E7742D5"/>
    <w:rsid w:val="6E947A29"/>
    <w:rsid w:val="6F940B51"/>
    <w:rsid w:val="701E0D35"/>
    <w:rsid w:val="70C735D1"/>
    <w:rsid w:val="70CB0335"/>
    <w:rsid w:val="70E64A50"/>
    <w:rsid w:val="717A54B6"/>
    <w:rsid w:val="726F67EB"/>
    <w:rsid w:val="72A9536C"/>
    <w:rsid w:val="72AF23A1"/>
    <w:rsid w:val="72BF52A3"/>
    <w:rsid w:val="73520170"/>
    <w:rsid w:val="73B32D5B"/>
    <w:rsid w:val="742A5A9F"/>
    <w:rsid w:val="74EA0661"/>
    <w:rsid w:val="75127B2A"/>
    <w:rsid w:val="751C09CF"/>
    <w:rsid w:val="75272590"/>
    <w:rsid w:val="756B70AB"/>
    <w:rsid w:val="759233F8"/>
    <w:rsid w:val="759D7389"/>
    <w:rsid w:val="7617390F"/>
    <w:rsid w:val="762D45E7"/>
    <w:rsid w:val="76346231"/>
    <w:rsid w:val="76432C97"/>
    <w:rsid w:val="76472E5B"/>
    <w:rsid w:val="773F1B2E"/>
    <w:rsid w:val="776141C0"/>
    <w:rsid w:val="77E71EE7"/>
    <w:rsid w:val="78403651"/>
    <w:rsid w:val="784051C1"/>
    <w:rsid w:val="789E16E5"/>
    <w:rsid w:val="78DB40C6"/>
    <w:rsid w:val="7954401D"/>
    <w:rsid w:val="79547EF1"/>
    <w:rsid w:val="79A24C96"/>
    <w:rsid w:val="79A379A4"/>
    <w:rsid w:val="7AE80A7B"/>
    <w:rsid w:val="7B5E14E4"/>
    <w:rsid w:val="7B741965"/>
    <w:rsid w:val="7BBF78B4"/>
    <w:rsid w:val="7BFE30BC"/>
    <w:rsid w:val="7CD24C07"/>
    <w:rsid w:val="7CDD0037"/>
    <w:rsid w:val="7D6C2012"/>
    <w:rsid w:val="7D8E6DCC"/>
    <w:rsid w:val="7D8F4D87"/>
    <w:rsid w:val="7DBB66FE"/>
    <w:rsid w:val="7DBE27C1"/>
    <w:rsid w:val="7DCA5F0F"/>
    <w:rsid w:val="7DD27BA7"/>
    <w:rsid w:val="7DF6029C"/>
    <w:rsid w:val="7E1F736F"/>
    <w:rsid w:val="7E366AB8"/>
    <w:rsid w:val="7E53316F"/>
    <w:rsid w:val="7EAF3253"/>
    <w:rsid w:val="7EF60637"/>
    <w:rsid w:val="7F9B365A"/>
    <w:rsid w:val="7FA57776"/>
    <w:rsid w:val="7FC250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 w:type="paragraph" w:styleId="3">
    <w:name w:val="Document Map"/>
    <w:basedOn w:val="1"/>
    <w:semiHidden/>
    <w:qFormat/>
    <w:uiPriority w:val="0"/>
    <w:pPr>
      <w:shd w:val="clear" w:color="auto" w:fill="000080"/>
    </w:pPr>
  </w:style>
  <w:style w:type="paragraph" w:styleId="4">
    <w:name w:val="Body Text Indent"/>
    <w:basedOn w:val="1"/>
    <w:qFormat/>
    <w:uiPriority w:val="0"/>
    <w:pPr>
      <w:spacing w:after="120"/>
      <w:ind w:left="420" w:leftChars="200"/>
    </w:p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4"/>
    <w:qFormat/>
    <w:uiPriority w:val="0"/>
    <w:pPr>
      <w:ind w:firstLine="420" w:firstLineChars="200"/>
    </w:pPr>
    <w:rPr>
      <w:rFonts w:ascii="Times New Roman" w:hAnsi="Times New Roman"/>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bCs/>
    </w:rPr>
  </w:style>
  <w:style w:type="paragraph" w:customStyle="1" w:styleId="12">
    <w:name w:val="Char"/>
    <w:basedOn w:val="1"/>
    <w:qFormat/>
    <w:uiPriority w:val="0"/>
    <w:rPr>
      <w:rFonts w:ascii="宋体" w:hAnsi="宋体" w:cs="Courier New"/>
      <w:sz w:val="32"/>
      <w:szCs w:val="32"/>
    </w:rPr>
  </w:style>
  <w:style w:type="character" w:customStyle="1" w:styleId="13">
    <w:name w:val="页眉 Char"/>
    <w:link w:val="6"/>
    <w:qFormat/>
    <w:uiPriority w:val="0"/>
    <w:rPr>
      <w:kern w:val="2"/>
      <w:sz w:val="18"/>
      <w:szCs w:val="18"/>
    </w:rPr>
  </w:style>
  <w:style w:type="character" w:customStyle="1" w:styleId="14">
    <w:name w:val="页脚 Char"/>
    <w:link w:val="5"/>
    <w:qFormat/>
    <w:uiPriority w:val="0"/>
    <w:rPr>
      <w:kern w:val="2"/>
      <w:sz w:val="18"/>
      <w:szCs w:val="18"/>
    </w:rPr>
  </w:style>
  <w:style w:type="paragraph" w:customStyle="1" w:styleId="15">
    <w:name w:val="[Normal]"/>
    <w:qFormat/>
    <w:uiPriority w:val="0"/>
    <w:rPr>
      <w:rFonts w:ascii="宋体" w:hAnsi="宋体" w:eastAsia="宋体" w:cs="Times New Roman"/>
      <w:sz w:val="24"/>
      <w:lang w:val="zh-CN" w:eastAsia="zh-CN" w:bidi="ar-SA"/>
    </w:rPr>
  </w:style>
  <w:style w:type="paragraph" w:customStyle="1" w:styleId="16">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xc</Company>
  <Pages>11</Pages>
  <Words>4141</Words>
  <Characters>4689</Characters>
  <Lines>147</Lines>
  <Paragraphs>54</Paragraphs>
  <TotalTime>113</TotalTime>
  <ScaleCrop>false</ScaleCrop>
  <LinksUpToDate>false</LinksUpToDate>
  <CharactersWithSpaces>4709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2020-01-06T08:45:00Z</dcterms:created>
  <dc:creator>dsx</dc:creator>
  <cp:lastModifiedBy>彼岸</cp:lastModifiedBy>
  <dcterms:modified xsi:type="dcterms:W3CDTF">2026-03-01T16:50:36Z</dcterms:modified>
  <dc:title>关于2019年部门预算的批复</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EDOID">
    <vt:r8>5838458</vt:r8>
  </property>
  <property fmtid="{D5CDD505-2E9C-101B-9397-08002B2CF9AE}" pid="4" name="ICV">
    <vt:lpwstr>29D56DFAB7A54F19B434B74E33A196BA_13</vt:lpwstr>
  </property>
  <property fmtid="{D5CDD505-2E9C-101B-9397-08002B2CF9AE}" pid="5" name="KSOTemplateDocerSaveRecord">
    <vt:lpwstr>eyJoZGlkIjoiMjU3ZmUyYjgxYjYxNDE0YmI2ZGY5NTRkZDVjMTQ3OTMiLCJ1c2VySWQiOiIxMTQyNzM5OTUzIn0=</vt:lpwstr>
  </property>
</Properties>
</file>