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大标宋简体" w:hAnsi="Times New Roman" w:eastAsia="方正大标宋简体" w:cs="Times New Roman"/>
          <w:b w:val="0"/>
          <w:bCs/>
          <w:color w:val="FF0000"/>
          <w:spacing w:val="40"/>
          <w:kern w:val="44"/>
          <w:sz w:val="44"/>
          <w:szCs w:val="44"/>
          <w:lang w:val="en-US" w:eastAsia="zh-CN" w:bidi="ar-SA"/>
        </w:rPr>
      </w:pPr>
      <w:r>
        <w:rPr>
          <w:rFonts w:hint="eastAsia" w:ascii="方正大标宋简体" w:hAnsi="Times New Roman" w:eastAsia="方正大标宋简体" w:cs="Times New Roman"/>
          <w:b w:val="0"/>
          <w:bCs/>
          <w:color w:val="FF0000"/>
          <w:spacing w:val="40"/>
          <w:kern w:val="44"/>
          <w:sz w:val="44"/>
          <w:szCs w:val="44"/>
          <w:lang w:val="en-US" w:eastAsia="zh-CN" w:bidi="ar-SA"/>
        </w:rPr>
        <w:t>丽水职业技术学院</w:t>
      </w:r>
    </w:p>
    <w:p>
      <w:pPr>
        <w:jc w:val="center"/>
        <w:rPr>
          <w:rFonts w:hint="eastAsia" w:ascii="方正大标宋简体" w:hAnsi="Times New Roman" w:eastAsia="方正大标宋简体" w:cs="Times New Roman"/>
          <w:b/>
          <w:bCs/>
          <w:color w:val="FF0000"/>
          <w:spacing w:val="40"/>
          <w:kern w:val="44"/>
          <w:sz w:val="52"/>
          <w:szCs w:val="52"/>
          <w:lang w:val="en-US" w:eastAsia="zh-CN" w:bidi="ar-SA"/>
        </w:rPr>
      </w:pPr>
      <w:r>
        <w:rPr>
          <w:rFonts w:hint="eastAsia" w:ascii="方正大标宋简体" w:hAnsi="Times New Roman" w:eastAsia="方正大标宋简体" w:cs="Times New Roman"/>
          <w:b/>
          <w:bCs/>
          <w:color w:val="FF0000"/>
          <w:spacing w:val="40"/>
          <w:kern w:val="44"/>
          <w:sz w:val="52"/>
          <w:szCs w:val="52"/>
          <w:lang w:val="en-US" w:eastAsia="zh-CN" w:bidi="ar-SA"/>
        </w:rPr>
        <w:t>教学工作会议纪要</w:t>
      </w:r>
    </w:p>
    <w:p>
      <w:pPr>
        <w:snapToGrid/>
        <w:spacing w:before="289" w:beforeLines="50" w:line="560" w:lineRule="exact"/>
        <w:ind w:right="84" w:rightChars="40" w:firstLine="208" w:firstLineChars="65"/>
        <w:jc w:val="left"/>
        <w:rPr>
          <w:rFonts w:hint="eastAsia" w:ascii="仿宋_GB2312" w:hAnsi="宋体" w:eastAsia="仿宋_GB2312" w:cs="Times New Roman"/>
          <w:b w:val="0"/>
          <w:color w:val="FF0000"/>
          <w:sz w:val="32"/>
          <w:szCs w:val="32"/>
          <w:lang w:val="en-US" w:eastAsia="zh-CN"/>
        </w:rPr>
      </w:pPr>
      <w:r>
        <w:rPr>
          <w:rFonts w:hint="eastAsia" w:ascii="仿宋_GB2312" w:hAnsi="宋体" w:eastAsia="仿宋_GB2312" w:cs="Times New Roman"/>
          <w:b w:val="0"/>
          <w:color w:val="FF0000"/>
          <w:sz w:val="32"/>
          <w:szCs w:val="32"/>
          <w:lang w:val="en-US" w:eastAsia="zh-CN"/>
        </w:rPr>
        <w:t>丽水职业技术学院教务处</w:t>
      </w:r>
      <w:r>
        <w:rPr>
          <w:rFonts w:hint="eastAsia" w:ascii="仿宋_GB2312" w:hAnsi="宋体" w:eastAsia="仿宋_GB2312" w:cs="Times New Roman"/>
          <w:b w:val="0"/>
          <w:sz w:val="32"/>
          <w:szCs w:val="32"/>
          <w:lang w:val="en-US" w:eastAsia="zh-CN"/>
        </w:rPr>
        <w:t xml:space="preserve">            </w:t>
      </w:r>
      <w:r>
        <w:rPr>
          <w:rFonts w:hint="eastAsia" w:ascii="仿宋_GB2312" w:hAnsi="宋体" w:eastAsia="仿宋_GB2312" w:cs="Times New Roman"/>
          <w:b w:val="0"/>
          <w:color w:val="FF0000"/>
          <w:sz w:val="32"/>
          <w:szCs w:val="32"/>
          <w:lang w:val="en-US" w:eastAsia="zh-CN"/>
        </w:rPr>
        <w:t xml:space="preserve"> 2018年8月30日</w:t>
      </w:r>
    </w:p>
    <w:p>
      <w:pPr>
        <w:keepNext w:val="0"/>
        <w:keepLines w:val="0"/>
        <w:pageBreakBefore w:val="0"/>
        <w:widowControl w:val="0"/>
        <w:kinsoku/>
        <w:wordWrap/>
        <w:overflowPunct/>
        <w:topLinePunct w:val="0"/>
        <w:autoSpaceDE/>
        <w:autoSpaceDN/>
        <w:bidi w:val="0"/>
        <w:adjustRightInd/>
        <w:snapToGrid/>
        <w:spacing w:before="157" w:beforeLines="50"/>
        <w:ind w:firstLine="658"/>
        <w:textAlignment w:val="auto"/>
        <w:outlineLvl w:val="9"/>
        <w:rPr>
          <w:rFonts w:hint="eastAsia" w:ascii="仿宋_GB2312" w:hAnsi="Times New Roman" w:eastAsia="仿宋_GB2312" w:cs="Times New Roman"/>
          <w:color w:val="auto"/>
          <w:sz w:val="32"/>
          <w:szCs w:val="32"/>
        </w:rPr>
      </w:pPr>
      <w:r>
        <w:rPr>
          <w:color w:val="auto"/>
          <w:sz w:val="32"/>
        </w:rPr>
        <mc:AlternateContent>
          <mc:Choice Requires="wps">
            <w:drawing>
              <wp:anchor distT="0" distB="0" distL="114300" distR="114300" simplePos="0" relativeHeight="251658240" behindDoc="0" locked="0" layoutInCell="1" allowOverlap="1">
                <wp:simplePos x="0" y="0"/>
                <wp:positionH relativeFrom="column">
                  <wp:posOffset>-909955</wp:posOffset>
                </wp:positionH>
                <wp:positionV relativeFrom="paragraph">
                  <wp:posOffset>18415</wp:posOffset>
                </wp:positionV>
                <wp:extent cx="7200900" cy="27305"/>
                <wp:effectExtent l="0" t="9525" r="0" b="20320"/>
                <wp:wrapNone/>
                <wp:docPr id="1" name="直接连接符 1"/>
                <wp:cNvGraphicFramePr/>
                <a:graphic xmlns:a="http://schemas.openxmlformats.org/drawingml/2006/main">
                  <a:graphicData uri="http://schemas.microsoft.com/office/word/2010/wordprocessingShape">
                    <wps:wsp>
                      <wps:cNvCnPr/>
                      <wps:spPr>
                        <a:xfrm flipV="1">
                          <a:off x="362585" y="2972435"/>
                          <a:ext cx="7200900" cy="27305"/>
                        </a:xfrm>
                        <a:prstGeom prst="line">
                          <a:avLst/>
                        </a:prstGeom>
                        <a:noFill/>
                        <a:ln w="19050"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flip:y;margin-left:-71.65pt;margin-top:1.45pt;height:2.15pt;width:567pt;z-index:251658240;mso-width-relative:page;mso-height-relative:page;" filled="f" stroked="t" coordsize="21600,21600" o:gfxdata="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nuz&#10;htkAAAAIAQAADwAAAAAAAAABACAAAAAiAAAAZHJzL2Rvd25yZXYueG1sUEsBAhQAFAAAAAgAh07i&#10;QIqoCp/oAQAAiwMAAA4AAAAAAAAAAQAgAAAAKAEAAGRycy9lMm9Eb2MueG1sUEsFBgAAAAAGAAYA&#10;WQEAAIIFAAAAAA==&#10;">
                <v:fill on="f" focussize="0,0"/>
                <v:stroke weight="1.5pt" color="#FF0000" miterlimit="8" joinstyle="miter"/>
                <v:imagedata o:title=""/>
                <o:lock v:ext="edit" aspectratio="f"/>
              </v:line>
            </w:pict>
          </mc:Fallback>
        </mc:AlternateConten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30</w:t>
      </w:r>
      <w:r>
        <w:rPr>
          <w:rFonts w:hint="eastAsia" w:ascii="仿宋_GB2312" w:hAnsi="Times New Roman" w:eastAsia="仿宋_GB2312" w:cs="Times New Roman"/>
          <w:color w:val="auto"/>
          <w:sz w:val="32"/>
          <w:szCs w:val="32"/>
        </w:rPr>
        <w:t>日下午，学</w:t>
      </w:r>
      <w:r>
        <w:rPr>
          <w:rFonts w:hint="eastAsia" w:ascii="仿宋_GB2312" w:hAnsi="Times New Roman" w:eastAsia="仿宋_GB2312" w:cs="Times New Roman"/>
          <w:color w:val="auto"/>
          <w:sz w:val="32"/>
          <w:szCs w:val="32"/>
          <w:lang w:eastAsia="zh-CN"/>
        </w:rPr>
        <w:t>校</w:t>
      </w:r>
      <w:r>
        <w:rPr>
          <w:rFonts w:hint="eastAsia" w:ascii="仿宋_GB2312" w:hAnsi="Times New Roman" w:eastAsia="仿宋_GB2312" w:cs="Times New Roman"/>
          <w:color w:val="auto"/>
          <w:sz w:val="32"/>
          <w:szCs w:val="32"/>
        </w:rPr>
        <w:t>在图书行政楼801会议室召开</w:t>
      </w:r>
      <w:r>
        <w:rPr>
          <w:rFonts w:hint="eastAsia" w:ascii="仿宋_GB2312" w:hAnsi="Times New Roman" w:eastAsia="仿宋_GB2312" w:cs="Times New Roman"/>
          <w:color w:val="auto"/>
          <w:sz w:val="32"/>
          <w:szCs w:val="32"/>
          <w:lang w:eastAsia="zh-CN"/>
        </w:rPr>
        <w:t>新学期</w:t>
      </w:r>
      <w:r>
        <w:rPr>
          <w:rFonts w:hint="eastAsia" w:ascii="仿宋_GB2312" w:hAnsi="Times New Roman" w:eastAsia="仿宋_GB2312" w:cs="Times New Roman"/>
          <w:color w:val="auto"/>
          <w:sz w:val="32"/>
          <w:szCs w:val="32"/>
          <w:lang w:val="en-US" w:eastAsia="zh-CN"/>
        </w:rPr>
        <w:t>首次教学工作例会</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会议</w:t>
      </w:r>
      <w:r>
        <w:rPr>
          <w:rFonts w:hint="eastAsia" w:ascii="仿宋_GB2312" w:hAnsi="Times New Roman" w:eastAsia="仿宋_GB2312" w:cs="Times New Roman"/>
          <w:color w:val="auto"/>
          <w:sz w:val="32"/>
          <w:szCs w:val="32"/>
        </w:rPr>
        <w:t>对</w:t>
      </w:r>
      <w:r>
        <w:rPr>
          <w:rFonts w:hint="eastAsia" w:ascii="仿宋_GB2312" w:hAnsi="Times New Roman" w:eastAsia="仿宋_GB2312" w:cs="Times New Roman"/>
          <w:color w:val="auto"/>
          <w:sz w:val="32"/>
          <w:szCs w:val="32"/>
          <w:lang w:eastAsia="zh-CN"/>
        </w:rPr>
        <w:t>学期初教学相关工作进行部署</w:t>
      </w:r>
      <w:r>
        <w:rPr>
          <w:rFonts w:hint="eastAsia" w:ascii="仿宋_GB2312" w:hAnsi="Times New Roman" w:eastAsia="仿宋_GB2312" w:cs="Times New Roman"/>
          <w:color w:val="auto"/>
          <w:sz w:val="32"/>
          <w:szCs w:val="32"/>
          <w:lang w:val="en-US" w:eastAsia="zh-CN"/>
        </w:rPr>
        <w:t>,</w:t>
      </w:r>
      <w:r>
        <w:rPr>
          <w:rFonts w:hint="eastAsia" w:ascii="仿宋_GB2312" w:hAnsi="Times New Roman" w:eastAsia="仿宋_GB2312" w:cs="Times New Roman"/>
          <w:color w:val="auto"/>
          <w:sz w:val="32"/>
          <w:szCs w:val="32"/>
        </w:rPr>
        <w:t>并</w:t>
      </w:r>
      <w:r>
        <w:rPr>
          <w:rFonts w:hint="eastAsia" w:ascii="仿宋_GB2312" w:hAnsi="Times New Roman" w:eastAsia="仿宋_GB2312" w:cs="Times New Roman"/>
          <w:color w:val="auto"/>
          <w:sz w:val="32"/>
          <w:szCs w:val="32"/>
          <w:lang w:eastAsia="zh-CN"/>
        </w:rPr>
        <w:t>围绕专业调整、标志性教育教学项目培育、教学信息化工作推进等方面工作进</w:t>
      </w:r>
      <w:bookmarkStart w:id="0" w:name="_GoBack"/>
      <w:bookmarkEnd w:id="0"/>
      <w:r>
        <w:rPr>
          <w:rFonts w:hint="eastAsia" w:ascii="仿宋_GB2312" w:hAnsi="Times New Roman" w:eastAsia="仿宋_GB2312" w:cs="Times New Roman"/>
          <w:color w:val="auto"/>
          <w:sz w:val="32"/>
          <w:szCs w:val="32"/>
          <w:lang w:eastAsia="zh-CN"/>
        </w:rPr>
        <w:t>行专题交流</w:t>
      </w:r>
      <w:r>
        <w:rPr>
          <w:rFonts w:hint="eastAsia" w:ascii="仿宋_GB2312" w:hAnsi="Times New Roman" w:eastAsia="仿宋_GB2312" w:cs="Times New Roman"/>
          <w:color w:val="auto"/>
          <w:sz w:val="32"/>
          <w:szCs w:val="32"/>
        </w:rPr>
        <w:t>。学</w:t>
      </w:r>
      <w:r>
        <w:rPr>
          <w:rFonts w:hint="eastAsia" w:ascii="仿宋_GB2312" w:hAnsi="Times New Roman" w:eastAsia="仿宋_GB2312" w:cs="Times New Roman"/>
          <w:color w:val="auto"/>
          <w:sz w:val="32"/>
          <w:szCs w:val="32"/>
          <w:lang w:eastAsia="zh-CN"/>
        </w:rPr>
        <w:t>校</w:t>
      </w:r>
      <w:r>
        <w:rPr>
          <w:rFonts w:hint="eastAsia" w:ascii="仿宋_GB2312" w:hAnsi="Times New Roman" w:eastAsia="仿宋_GB2312" w:cs="Times New Roman"/>
          <w:color w:val="auto"/>
          <w:sz w:val="32"/>
          <w:szCs w:val="32"/>
        </w:rPr>
        <w:t>领导梁伟样、</w:t>
      </w:r>
      <w:r>
        <w:rPr>
          <w:rFonts w:hint="eastAsia" w:ascii="仿宋_GB2312" w:hAnsi="Times New Roman" w:eastAsia="仿宋_GB2312" w:cs="Times New Roman"/>
          <w:color w:val="auto"/>
          <w:sz w:val="32"/>
          <w:szCs w:val="32"/>
          <w:lang w:eastAsia="zh-CN"/>
        </w:rPr>
        <w:t>刘建荣</w:t>
      </w:r>
      <w:r>
        <w:rPr>
          <w:rFonts w:hint="eastAsia" w:ascii="仿宋_GB2312" w:hAnsi="Times New Roman" w:eastAsia="仿宋_GB2312" w:cs="Times New Roman"/>
          <w:color w:val="auto"/>
          <w:sz w:val="32"/>
          <w:szCs w:val="32"/>
        </w:rPr>
        <w:t>出席会议。党委副书记、副</w:t>
      </w:r>
      <w:r>
        <w:rPr>
          <w:rFonts w:hint="eastAsia" w:ascii="仿宋_GB2312" w:hAnsi="Times New Roman" w:eastAsia="仿宋_GB2312" w:cs="Times New Roman"/>
          <w:color w:val="auto"/>
          <w:sz w:val="32"/>
          <w:szCs w:val="32"/>
          <w:lang w:eastAsia="zh-CN"/>
        </w:rPr>
        <w:t>校</w:t>
      </w:r>
      <w:r>
        <w:rPr>
          <w:rFonts w:hint="eastAsia" w:ascii="仿宋_GB2312" w:hAnsi="Times New Roman" w:eastAsia="仿宋_GB2312" w:cs="Times New Roman"/>
          <w:color w:val="auto"/>
          <w:sz w:val="32"/>
          <w:szCs w:val="32"/>
        </w:rPr>
        <w:t>长</w:t>
      </w:r>
      <w:r>
        <w:rPr>
          <w:rFonts w:hint="eastAsia" w:ascii="仿宋_GB2312" w:hAnsi="Times New Roman" w:eastAsia="仿宋_GB2312" w:cs="Times New Roman"/>
          <w:color w:val="auto"/>
          <w:sz w:val="32"/>
          <w:szCs w:val="32"/>
          <w:lang w:eastAsia="zh-CN"/>
        </w:rPr>
        <w:t>刘建荣</w:t>
      </w:r>
      <w:r>
        <w:rPr>
          <w:rFonts w:hint="eastAsia" w:ascii="仿宋_GB2312" w:hAnsi="Times New Roman" w:eastAsia="仿宋_GB2312" w:cs="Times New Roman"/>
          <w:color w:val="auto"/>
          <w:sz w:val="32"/>
          <w:szCs w:val="32"/>
        </w:rPr>
        <w:t>主持会议。现将会议主要情况纪要如下：</w:t>
      </w:r>
    </w:p>
    <w:p>
      <w:pPr>
        <w:numPr>
          <w:ilvl w:val="0"/>
          <w:numId w:val="1"/>
        </w:numPr>
        <w:ind w:firstLine="660"/>
        <w:rPr>
          <w:rFonts w:hint="eastAsia" w:ascii="仿宋_GB2312" w:hAnsi="Times New Roman" w:eastAsia="仿宋_GB2312" w:cs="Times New Roman"/>
          <w:b/>
          <w:bCs/>
          <w:color w:val="auto"/>
          <w:sz w:val="32"/>
          <w:szCs w:val="32"/>
          <w:lang w:val="en-US" w:eastAsia="zh-CN"/>
        </w:rPr>
      </w:pPr>
      <w:r>
        <w:rPr>
          <w:rFonts w:hint="eastAsia" w:ascii="仿宋_GB2312" w:hAnsi="Times New Roman" w:eastAsia="仿宋_GB2312" w:cs="Times New Roman"/>
          <w:b/>
          <w:bCs/>
          <w:color w:val="auto"/>
          <w:sz w:val="32"/>
          <w:szCs w:val="32"/>
          <w:lang w:val="en-US" w:eastAsia="zh-CN"/>
        </w:rPr>
        <w:t>听取本学期重点工作部署及学期初相关工作安排</w:t>
      </w:r>
    </w:p>
    <w:p>
      <w:pPr>
        <w:numPr>
          <w:ilvl w:val="0"/>
          <w:numId w:val="0"/>
        </w:numPr>
        <w:ind w:firstLine="64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会议听取了教务处处长王培才同志关于微课比赛、信息化课程建设、教学改革研究项目申报、标准性成果培育等本学期重点工作及学期初相关工作安排的汇报。</w:t>
      </w:r>
    </w:p>
    <w:p>
      <w:pPr>
        <w:numPr>
          <w:ilvl w:val="0"/>
          <w:numId w:val="0"/>
        </w:numPr>
        <w:ind w:firstLine="64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会议强调，各二级学院要认真做好学期初教学常规工作安排，积极引导信息化课程建设，有针对性的培育标志性成果。</w:t>
      </w:r>
    </w:p>
    <w:p>
      <w:pPr>
        <w:numPr>
          <w:ilvl w:val="0"/>
          <w:numId w:val="1"/>
        </w:numPr>
        <w:ind w:firstLine="660"/>
        <w:jc w:val="left"/>
        <w:rPr>
          <w:rFonts w:hint="eastAsia" w:ascii="仿宋_GB2312" w:hAnsi="Times New Roman" w:eastAsia="仿宋_GB2312" w:cs="Times New Roman"/>
          <w:b/>
          <w:bCs/>
          <w:color w:val="auto"/>
          <w:sz w:val="32"/>
          <w:szCs w:val="32"/>
          <w:lang w:val="en-US" w:eastAsia="zh-CN"/>
        </w:rPr>
      </w:pPr>
      <w:r>
        <w:rPr>
          <w:rFonts w:hint="eastAsia" w:ascii="仿宋_GB2312" w:hAnsi="Times New Roman" w:eastAsia="仿宋_GB2312" w:cs="Times New Roman"/>
          <w:b/>
          <w:bCs/>
          <w:color w:val="auto"/>
          <w:sz w:val="32"/>
          <w:szCs w:val="32"/>
          <w:lang w:val="en-US" w:eastAsia="zh-CN"/>
        </w:rPr>
        <w:t>重点交流教学信息化工作推进举措并达成共识</w:t>
      </w:r>
    </w:p>
    <w:p>
      <w:pPr>
        <w:numPr>
          <w:ilvl w:val="0"/>
          <w:numId w:val="0"/>
        </w:numPr>
        <w:ind w:firstLine="64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教务处、信息与设备管理处、督导处负责人及各二级学院书记、院长、副院长、办公室主任围绕教学信息化工作推进、精品在线开放课程建设、学生学籍管理、学生竞赛辅导费用分配等方面摆问题、谈看法、列举措。</w:t>
      </w:r>
    </w:p>
    <w:p>
      <w:pPr>
        <w:numPr>
          <w:ilvl w:val="0"/>
          <w:numId w:val="0"/>
        </w:numPr>
        <w:ind w:firstLine="64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会议指出，标志性成果的培育是系统工程，需要形成合力，基础在于二级学院的专业建设和老师的课堂教学。信息化教学工作的推进要有步骤，有指导。各部门、各二级学院要加强与外校的合作与交流，学习经验、开展跨校合作。形成以下意见：</w:t>
      </w:r>
    </w:p>
    <w:p>
      <w:pPr>
        <w:numPr>
          <w:ilvl w:val="0"/>
          <w:numId w:val="0"/>
        </w:numPr>
        <w:ind w:firstLine="64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第一，要加快推进我校“互联网+教学”，全面提升我校教育信息化工作，由教务处牵头制定推进教育信息化工作指导意见。</w:t>
      </w:r>
    </w:p>
    <w:p>
      <w:pPr>
        <w:numPr>
          <w:ilvl w:val="0"/>
          <w:numId w:val="0"/>
        </w:numPr>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第二，标志性教育教学成果要进行重点培育，强化前期指导与资助，成果取得的基础工作在于各二级学院、专业和教师的积累，各二级学院要修订奖励性绩效分配办法，向为二级学院目标责任制考核得分和加分的项目倾斜。竞争性取得的标志性成果学校将给予奖励，具体奖励办法由教务处牵头制定。</w:t>
      </w:r>
    </w:p>
    <w:p>
      <w:pPr>
        <w:numPr>
          <w:ilvl w:val="0"/>
          <w:numId w:val="0"/>
        </w:numPr>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第三，着力提高青年教师信息化教学水平，将信息化教学能力列入青年教师教育教学综合考试内容。要求青年教师本学期从微课制作、题库开发入手进行在线课程建设，各教研室积极开展教育信息化模式研究，二级学院要制定相关培育和考核办法，教学督导处推门听课抽查青年教师在线课程使用情况。同时将基于浙江省高等学校在线开放课程共享平台的课程建设情况列入2019年目标责任制考核。</w:t>
      </w:r>
    </w:p>
    <w:p>
      <w:pPr>
        <w:numPr>
          <w:ilvl w:val="0"/>
          <w:numId w:val="0"/>
        </w:numPr>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第四，信息化课程建设要有标准、有要求，要以浙江省高等学校精品在线开放课程建设要求为依据，由信息与设备管理处牵头制定相关标准。</w:t>
      </w:r>
    </w:p>
    <w:p>
      <w:pPr>
        <w:numPr>
          <w:ilvl w:val="0"/>
          <w:numId w:val="0"/>
        </w:numPr>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第五，重视优质教育资源开发和共享，各二级学院9月10日前推荐重点建设的精品开线开放课程报教务处，由学校拟定重点开发的课程，并由校领导挂帅，组建建设团队，教务处排出工作进度，9月下旬开始第一轮每门课程5个视频的制作。</w:t>
      </w:r>
    </w:p>
    <w:p>
      <w:pPr>
        <w:numPr>
          <w:ilvl w:val="0"/>
          <w:numId w:val="0"/>
        </w:numPr>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第六，严格执行学生学籍管理规定，对学业困难学生要加强指导、提前预警，</w:t>
      </w:r>
      <w:r>
        <w:rPr>
          <w:rFonts w:hint="eastAsia" w:ascii="仿宋_GB2312" w:hAnsi="Times New Roman" w:eastAsia="仿宋_GB2312" w:cs="仿宋_GB2312"/>
          <w:color w:val="auto"/>
          <w:sz w:val="32"/>
          <w:szCs w:val="32"/>
          <w:lang w:val="en-US" w:eastAsia="zh-CN" w:bidi="ar"/>
        </w:rPr>
        <w:t>对达到退学规定，不能完成学业的学生要及早退学；对不适合承</w:t>
      </w:r>
      <w:r>
        <w:rPr>
          <w:rFonts w:hint="eastAsia" w:ascii="仿宋" w:hAnsi="仿宋" w:eastAsia="仿宋" w:cs="仿宋"/>
          <w:color w:val="auto"/>
          <w:sz w:val="32"/>
          <w:szCs w:val="32"/>
          <w:lang w:val="en-US" w:eastAsia="zh-CN" w:bidi="ar"/>
        </w:rPr>
        <w:t>担课程教</w:t>
      </w:r>
      <w:r>
        <w:rPr>
          <w:rFonts w:hint="eastAsia" w:ascii="仿宋_GB2312" w:hAnsi="Times New Roman" w:eastAsia="仿宋_GB2312" w:cs="仿宋_GB2312"/>
          <w:color w:val="auto"/>
          <w:sz w:val="32"/>
          <w:szCs w:val="32"/>
          <w:lang w:val="en-US" w:eastAsia="zh-CN" w:bidi="ar"/>
        </w:rPr>
        <w:t>学的老师不能安排教学任务，</w:t>
      </w:r>
      <w:r>
        <w:rPr>
          <w:rFonts w:hint="eastAsia" w:ascii="仿宋_GB2312" w:hAnsi="Times New Roman" w:eastAsia="仿宋_GB2312" w:cs="Times New Roman"/>
          <w:color w:val="auto"/>
          <w:sz w:val="32"/>
          <w:szCs w:val="32"/>
          <w:lang w:val="en-US" w:eastAsia="zh-CN"/>
        </w:rPr>
        <w:t>重视过程性评价，做到过程性评价和期末考试相结合，其中期末考试成绩在最终评价中所占比例不超过50%，过程性评价所占比例不低于50%，具体由各二级学院根据课程性质确定，报教务处备案。</w:t>
      </w:r>
    </w:p>
    <w:p>
      <w:pPr>
        <w:numPr>
          <w:ilvl w:val="0"/>
          <w:numId w:val="0"/>
        </w:numPr>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第七，为学生技能竞赛提供政策支持。根据各二级学院参加省级及以上学生技能竞赛的项目、人数等因素，核定辅导费用划给二级学院，由二级学院进行分配。同时给予参加国赛的竞赛队伍相应额度的竞赛经费支持。</w:t>
      </w:r>
    </w:p>
    <w:p>
      <w:pPr>
        <w:numPr>
          <w:ilvl w:val="0"/>
          <w:numId w:val="0"/>
        </w:numPr>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第八，要做好学生专升本的组织、辅导工作。辅导老师的课时在专业技术职务评聘时计入工作量。</w:t>
      </w:r>
    </w:p>
    <w:p>
      <w:pPr>
        <w:numPr>
          <w:ilvl w:val="0"/>
          <w:numId w:val="0"/>
        </w:num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color w:val="auto"/>
          <w:sz w:val="32"/>
          <w:szCs w:val="32"/>
          <w:lang w:val="en-US" w:eastAsia="zh-CN"/>
        </w:rPr>
        <w:t>参加会议的有：王培才、祝迎春、沈培福、曾骊、王碧秀、周伟华、陈志生、赵利庆、应俊辉、汤</w:t>
      </w:r>
      <w:r>
        <w:rPr>
          <w:rFonts w:hint="eastAsia" w:ascii="仿宋_GB2312" w:hAnsi="Times New Roman" w:eastAsia="仿宋_GB2312" w:cs="Times New Roman"/>
          <w:sz w:val="32"/>
          <w:szCs w:val="32"/>
          <w:lang w:val="en-US" w:eastAsia="zh-CN"/>
        </w:rPr>
        <w:t>书福、钭志斌、李三波、卢丽华、郑晓泉、徐爱亲、刘泽刚、黄海松、钭祖民、王剑盛、王科、张定俊、曾科、应志成、杨俊、李军庆、施杨靖、倪慧丽、徐颖乾、赵瑰。</w:t>
      </w:r>
    </w:p>
    <w:p>
      <w:pPr>
        <w:rPr>
          <w:rFonts w:hint="eastAsia"/>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大标宋简体">
    <w:altName w:val="微软雅黑"/>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6924BC"/>
    <w:multiLevelType w:val="singleLevel"/>
    <w:tmpl w:val="966924B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787E25"/>
    <w:rsid w:val="01BB685C"/>
    <w:rsid w:val="047A6B7F"/>
    <w:rsid w:val="0C795110"/>
    <w:rsid w:val="0DE521A4"/>
    <w:rsid w:val="121B60F7"/>
    <w:rsid w:val="12D15C3C"/>
    <w:rsid w:val="1A6E77A2"/>
    <w:rsid w:val="1E3F3490"/>
    <w:rsid w:val="311E3AD5"/>
    <w:rsid w:val="32BC707F"/>
    <w:rsid w:val="4314349E"/>
    <w:rsid w:val="470B29DA"/>
    <w:rsid w:val="47FE14DC"/>
    <w:rsid w:val="552E750E"/>
    <w:rsid w:val="60787E25"/>
    <w:rsid w:val="65B0789F"/>
    <w:rsid w:val="65B6651A"/>
    <w:rsid w:val="67A963B1"/>
    <w:rsid w:val="68BA2959"/>
    <w:rsid w:val="6D535020"/>
    <w:rsid w:val="7D7D462C"/>
    <w:rsid w:val="7F6314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3">
    <w:name w:val="Default Paragraph Font"/>
    <w:semiHidden/>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4"/>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4</Pages>
  <Words>1485</Words>
  <Characters>1500</Characters>
  <Lines>0</Lines>
  <Paragraphs>0</Paragraphs>
  <TotalTime>176</TotalTime>
  <ScaleCrop>false</ScaleCrop>
  <LinksUpToDate>false</LinksUpToDate>
  <CharactersWithSpaces>1513</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2018-08-30T23:59:00Z</dcterms:created>
  <dc:creator>Administrator</dc:creator>
  <cp:lastModifiedBy>summer</cp:lastModifiedBy>
  <cp:lastPrinted>2018-09-03T08:11:45Z</cp:lastPrinted>
  <dcterms:modified xsi:type="dcterms:W3CDTF">2018-09-11T06:27:09Z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