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bookmarkStart w:id="0" w:name="_GoBack"/>
      <w:bookmarkEnd w:id="0"/>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2024年度丽水市乡村振兴课题研究重点清单</w:t>
      </w:r>
    </w:p>
    <w:tbl>
      <w:tblPr>
        <w:tblStyle w:val="7"/>
        <w:tblpPr w:leftFromText="180" w:rightFromText="180" w:vertAnchor="text" w:horzAnchor="page" w:tblpX="1176" w:tblpY="623"/>
        <w:tblOverlap w:val="never"/>
        <w:tblW w:w="14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3642"/>
        <w:gridCol w:w="10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blHeader/>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b/>
                <w:bCs/>
                <w:sz w:val="30"/>
                <w:szCs w:val="30"/>
              </w:rPr>
            </w:pPr>
            <w:r>
              <w:rPr>
                <w:rFonts w:hint="eastAsia" w:ascii="宋体" w:hAnsi="宋体" w:eastAsia="宋体" w:cs="宋体"/>
                <w:b/>
                <w:bCs/>
                <w:sz w:val="30"/>
                <w:szCs w:val="30"/>
              </w:rPr>
              <w:t>序号</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b/>
                <w:bCs/>
                <w:sz w:val="30"/>
                <w:szCs w:val="30"/>
              </w:rPr>
            </w:pPr>
            <w:r>
              <w:rPr>
                <w:rFonts w:hint="eastAsia" w:ascii="宋体" w:hAnsi="宋体" w:eastAsia="宋体" w:cs="宋体"/>
                <w:b/>
                <w:bCs/>
                <w:sz w:val="30"/>
                <w:szCs w:val="30"/>
                <w:lang w:eastAsia="zh-CN"/>
              </w:rPr>
              <w:t>调研</w:t>
            </w:r>
            <w:r>
              <w:rPr>
                <w:rFonts w:hint="eastAsia" w:ascii="宋体" w:hAnsi="宋体" w:eastAsia="宋体" w:cs="宋体"/>
                <w:b/>
                <w:bCs/>
                <w:sz w:val="30"/>
                <w:szCs w:val="30"/>
              </w:rPr>
              <w:t>课题</w:t>
            </w:r>
            <w:r>
              <w:rPr>
                <w:rFonts w:hint="eastAsia" w:ascii="宋体" w:hAnsi="宋体" w:eastAsia="宋体" w:cs="宋体"/>
                <w:b/>
                <w:bCs/>
                <w:sz w:val="30"/>
                <w:szCs w:val="30"/>
                <w:lang w:eastAsia="zh-CN"/>
              </w:rPr>
              <w:t>（内容）</w:t>
            </w:r>
            <w:r>
              <w:rPr>
                <w:rFonts w:hint="eastAsia" w:ascii="宋体" w:hAnsi="宋体" w:eastAsia="宋体" w:cs="宋体"/>
                <w:b/>
                <w:bCs/>
                <w:sz w:val="30"/>
                <w:szCs w:val="30"/>
              </w:rPr>
              <w:t>名称</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eastAsia="宋体" w:cs="宋体"/>
                <w:b/>
                <w:bCs/>
                <w:sz w:val="30"/>
                <w:szCs w:val="30"/>
              </w:rPr>
            </w:pPr>
            <w:r>
              <w:rPr>
                <w:rFonts w:hint="eastAsia" w:ascii="宋体" w:hAnsi="宋体" w:eastAsia="宋体" w:cs="宋体"/>
                <w:b/>
                <w:bCs/>
                <w:sz w:val="30"/>
                <w:szCs w:val="30"/>
                <w:lang w:eastAsia="zh-CN"/>
              </w:rPr>
              <w:t>研究重点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发展山区农业农村新质生产力推进农业升级研究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系统梳理本地区（市或县）农业农村新质生产力发展现状、困难和挑战，研究提出农业农村新质生产力发展的重点领域、总体方向、基本思路、主要模式和创新举措。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集中力量推动品质农业全产业链发展推进农村进步研究</w:t>
            </w:r>
          </w:p>
        </w:tc>
        <w:tc>
          <w:tcPr>
            <w:tcW w:w="10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系统梳理本地区（市或县）品质农业全产业链发展存在的</w:t>
            </w:r>
            <w:r>
              <w:rPr>
                <w:rFonts w:hint="eastAsia" w:ascii="仿宋_GB2312" w:hAnsi="仿宋_GB2312" w:eastAsia="仿宋_GB2312" w:cs="仿宋_GB2312"/>
                <w:sz w:val="28"/>
                <w:szCs w:val="28"/>
                <w:lang w:val="en-US" w:eastAsia="zh-CN"/>
              </w:rPr>
              <w:t>问题短板、典型</w:t>
            </w:r>
            <w:r>
              <w:rPr>
                <w:rFonts w:hint="eastAsia" w:ascii="仿宋_GB2312" w:hAnsi="仿宋_GB2312" w:eastAsia="仿宋_GB2312" w:cs="仿宋_GB2312"/>
                <w:b w:val="0"/>
                <w:bCs w:val="0"/>
                <w:color w:val="auto"/>
                <w:sz w:val="28"/>
                <w:szCs w:val="28"/>
                <w:lang w:eastAsia="zh-CN"/>
              </w:rPr>
              <w:t>经验做法，</w:t>
            </w:r>
            <w:r>
              <w:rPr>
                <w:rFonts w:hint="eastAsia" w:ascii="仿宋_GB2312" w:hAnsi="仿宋_GB2312" w:eastAsia="仿宋_GB2312" w:cs="仿宋_GB2312"/>
                <w:b w:val="0"/>
                <w:bCs w:val="0"/>
                <w:color w:val="auto"/>
                <w:sz w:val="28"/>
                <w:szCs w:val="28"/>
              </w:rPr>
              <w:t>研究提出</w:t>
            </w:r>
            <w:r>
              <w:rPr>
                <w:rFonts w:hint="eastAsia" w:ascii="仿宋_GB2312" w:hAnsi="仿宋_GB2312" w:eastAsia="仿宋_GB2312" w:cs="仿宋_GB2312"/>
                <w:b w:val="0"/>
                <w:bCs w:val="0"/>
                <w:color w:val="auto"/>
                <w:sz w:val="28"/>
                <w:szCs w:val="28"/>
                <w:lang w:eastAsia="zh-CN"/>
              </w:rPr>
              <w:t>集中力量推动品质农业全产业链发展推进农村进步</w:t>
            </w:r>
            <w:r>
              <w:rPr>
                <w:rFonts w:hint="eastAsia" w:ascii="仿宋_GB2312" w:hAnsi="仿宋_GB2312" w:eastAsia="仿宋_GB2312" w:cs="仿宋_GB2312"/>
                <w:sz w:val="28"/>
                <w:szCs w:val="28"/>
                <w:lang w:val="en-US" w:eastAsia="zh-CN"/>
              </w:rPr>
              <w:t>的对策建议</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sz w:val="28"/>
                <w:szCs w:val="28"/>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3</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促进山区农村劳动力高质量充分就业推进农民发展研究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left"/>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围绕本地区（市或县）农村劳动力高质量充分就业中面临的问题和难点，深入分析提出促进农村劳动力高质量充分就业的可行路径和新思路、新举措。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4</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eastAsia="zh-CN"/>
              </w:rPr>
              <w:t>山区粮食产能提升研究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eastAsia="zh-CN"/>
              </w:rPr>
              <w:t>综合</w:t>
            </w:r>
            <w:r>
              <w:rPr>
                <w:rFonts w:hint="eastAsia" w:ascii="仿宋_GB2312" w:hAnsi="仿宋_GB2312" w:eastAsia="仿宋_GB2312" w:cs="仿宋_GB2312"/>
                <w:b w:val="0"/>
                <w:bCs w:val="0"/>
                <w:color w:val="auto"/>
                <w:sz w:val="28"/>
                <w:szCs w:val="28"/>
              </w:rPr>
              <w:t>分析</w:t>
            </w:r>
            <w:r>
              <w:rPr>
                <w:rFonts w:hint="eastAsia" w:ascii="仿宋_GB2312" w:hAnsi="仿宋_GB2312" w:eastAsia="仿宋_GB2312" w:cs="仿宋_GB2312"/>
                <w:b w:val="0"/>
                <w:bCs w:val="0"/>
                <w:color w:val="auto"/>
                <w:sz w:val="28"/>
                <w:szCs w:val="28"/>
                <w:lang w:eastAsia="zh-CN"/>
              </w:rPr>
              <w:t>本</w:t>
            </w:r>
            <w:r>
              <w:rPr>
                <w:rFonts w:hint="eastAsia" w:ascii="仿宋_GB2312" w:hAnsi="仿宋_GB2312" w:eastAsia="仿宋_GB2312" w:cs="仿宋_GB2312"/>
                <w:b w:val="0"/>
                <w:bCs w:val="0"/>
                <w:color w:val="auto"/>
                <w:sz w:val="28"/>
                <w:szCs w:val="28"/>
              </w:rPr>
              <w:t>地</w:t>
            </w:r>
            <w:r>
              <w:rPr>
                <w:rFonts w:hint="eastAsia" w:ascii="仿宋_GB2312" w:hAnsi="仿宋_GB2312" w:eastAsia="仿宋_GB2312" w:cs="仿宋_GB2312"/>
                <w:b w:val="0"/>
                <w:bCs w:val="0"/>
                <w:i w:val="0"/>
                <w:iCs w:val="0"/>
                <w:caps w:val="0"/>
                <w:color w:val="auto"/>
                <w:spacing w:val="0"/>
                <w:kern w:val="0"/>
                <w:sz w:val="28"/>
                <w:szCs w:val="28"/>
                <w:shd w:val="clear" w:color="auto" w:fill="FFFFFF"/>
                <w:lang w:val="en-US" w:eastAsia="zh-CN" w:bidi="ar"/>
              </w:rPr>
              <w:t>粮食作物优良品种选育推广等方面情况及存在问题不足，研究提出粮食产能提升的有效路径和对策建议。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5</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统筹高标准推进花园乡村建设和传统村落保护发展研究</w:t>
            </w:r>
          </w:p>
        </w:tc>
        <w:tc>
          <w:tcPr>
            <w:tcW w:w="10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分析花园乡村建设和传统村落保护发展统筹建设现状、问题，提出推进山区培育打造新时代和美乡村“丽水版”对策建议。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6</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统筹推进乡村“塑形”和“铸魂”两手抓研究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line="400" w:lineRule="exact"/>
              <w:jc w:val="left"/>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eastAsia="zh-CN"/>
              </w:rPr>
              <w:t>分析美丽大花园品质提升专项行动和书写中华民族现代文明乡村篇的建设现状、问题，提出统筹推进乡村“塑形”和“铸魂”两手抓的对策建议。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7</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val="en-US" w:eastAsia="zh-CN"/>
              </w:rPr>
              <w:t>山区新型农村集体经济发展的实践探索及前景展望研究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left"/>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val="en-US" w:eastAsia="zh-CN"/>
              </w:rPr>
              <w:t>认真梳理各地多样化发展路径和模式，综合研判面向2035年，新型农村集体经济的前瞻性、可操作的对策建议。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8</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rPr>
              <w:t>建立</w:t>
            </w:r>
            <w:r>
              <w:rPr>
                <w:rFonts w:hint="eastAsia" w:ascii="仿宋_GB2312" w:hAnsi="仿宋_GB2312" w:eastAsia="仿宋_GB2312" w:cs="仿宋_GB2312"/>
                <w:b w:val="0"/>
                <w:bCs w:val="0"/>
                <w:sz w:val="28"/>
                <w:szCs w:val="28"/>
                <w:lang w:eastAsia="zh-CN"/>
              </w:rPr>
              <w:t>健全山区乡村振兴</w:t>
            </w:r>
            <w:r>
              <w:rPr>
                <w:rFonts w:hint="eastAsia" w:ascii="仿宋_GB2312" w:hAnsi="仿宋_GB2312" w:eastAsia="仿宋_GB2312" w:cs="仿宋_GB2312"/>
                <w:b w:val="0"/>
                <w:bCs w:val="0"/>
                <w:sz w:val="28"/>
                <w:szCs w:val="28"/>
              </w:rPr>
              <w:t>工作</w:t>
            </w:r>
            <w:r>
              <w:rPr>
                <w:rFonts w:hint="eastAsia" w:ascii="仿宋_GB2312" w:hAnsi="仿宋_GB2312" w:eastAsia="仿宋_GB2312" w:cs="仿宋_GB2312"/>
                <w:b w:val="0"/>
                <w:bCs w:val="0"/>
                <w:sz w:val="28"/>
                <w:szCs w:val="28"/>
                <w:lang w:eastAsia="zh-CN"/>
              </w:rPr>
              <w:t>推进</w:t>
            </w:r>
            <w:r>
              <w:rPr>
                <w:rFonts w:hint="eastAsia" w:ascii="仿宋_GB2312" w:hAnsi="仿宋_GB2312" w:eastAsia="仿宋_GB2312" w:cs="仿宋_GB2312"/>
                <w:b w:val="0"/>
                <w:bCs w:val="0"/>
                <w:sz w:val="28"/>
                <w:szCs w:val="28"/>
              </w:rPr>
              <w:t>机制研究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rPr>
              <w:t>遵循中央统筹、省负总责、市县乡抓落实的农村工作领导体制，研究提出建立健全</w:t>
            </w:r>
            <w:r>
              <w:rPr>
                <w:rFonts w:hint="eastAsia" w:ascii="仿宋_GB2312" w:hAnsi="仿宋_GB2312" w:eastAsia="仿宋_GB2312" w:cs="仿宋_GB2312"/>
                <w:b w:val="0"/>
                <w:bCs w:val="0"/>
                <w:sz w:val="28"/>
                <w:szCs w:val="28"/>
                <w:lang w:eastAsia="zh-CN"/>
              </w:rPr>
              <w:t>乡村振兴工作推进</w:t>
            </w:r>
            <w:r>
              <w:rPr>
                <w:rFonts w:hint="eastAsia" w:ascii="仿宋_GB2312" w:hAnsi="仿宋_GB2312" w:eastAsia="仿宋_GB2312" w:cs="仿宋_GB2312"/>
                <w:b w:val="0"/>
                <w:bCs w:val="0"/>
                <w:sz w:val="28"/>
                <w:szCs w:val="28"/>
              </w:rPr>
              <w:t>机制的对策建议。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9</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构建山区现代农业经营体系发展农业适度规模经营问题研究</w:t>
            </w:r>
          </w:p>
        </w:tc>
        <w:tc>
          <w:tcPr>
            <w:tcW w:w="10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聚焦解决“谁来种地”问题，研究提出构建现代农业经营体系发展农业适度规模经营的思路和建议。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10</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山区数字赋能农业农村高质量发展研究</w:t>
            </w:r>
          </w:p>
        </w:tc>
        <w:tc>
          <w:tcPr>
            <w:tcW w:w="10410" w:type="dxa"/>
            <w:noWrap w:val="0"/>
            <w:vAlign w:val="center"/>
          </w:tcPr>
          <w:p>
            <w:pPr>
              <w:pStyle w:val="5"/>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napToGrid w:val="0"/>
                <w:color w:val="FF000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深入分析农业农村数字化转型的现实状况、实践成果、突出问题与推进策略，研究提出加快推动农业农村数字化转型进程的对策建议。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11</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山区农业科技创新成果转化与推广应用研究</w:t>
            </w:r>
          </w:p>
        </w:tc>
        <w:tc>
          <w:tcPr>
            <w:tcW w:w="10410" w:type="dxa"/>
            <w:noWrap w:val="0"/>
            <w:vAlign w:val="center"/>
          </w:tcPr>
          <w:p>
            <w:pPr>
              <w:pStyle w:val="4"/>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分析科创人才、农技推广队伍、推广对象等当前现状、难题，研究提出加快农业科技创新成果转化应用的有效路径和方式。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12</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山区秸秆综合利用研究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left"/>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梳理本地区（市或县）</w:t>
            </w:r>
            <w:r>
              <w:rPr>
                <w:rFonts w:hint="eastAsia" w:ascii="仿宋_GB2312" w:hAnsi="仿宋_GB2312" w:eastAsia="仿宋_GB2312" w:cs="仿宋_GB2312"/>
                <w:b w:val="0"/>
                <w:bCs w:val="0"/>
                <w:color w:val="000000"/>
                <w:sz w:val="28"/>
                <w:szCs w:val="28"/>
                <w:lang w:val="en-US" w:eastAsia="zh-CN"/>
              </w:rPr>
              <w:t>农作物秸秆资源总量和分布情况及产业化利用现状、难点、堵点，研究提出</w:t>
            </w:r>
            <w:r>
              <w:rPr>
                <w:rFonts w:hint="eastAsia" w:ascii="仿宋_GB2312" w:hAnsi="仿宋_GB2312" w:eastAsia="仿宋_GB2312" w:cs="仿宋_GB2312"/>
                <w:b w:val="0"/>
                <w:bCs w:val="0"/>
                <w:color w:val="auto"/>
                <w:sz w:val="28"/>
                <w:szCs w:val="28"/>
                <w:lang w:val="en-US" w:eastAsia="zh-CN"/>
              </w:rPr>
              <w:t>系统推进</w:t>
            </w:r>
            <w:r>
              <w:rPr>
                <w:rFonts w:hint="eastAsia" w:ascii="仿宋_GB2312" w:hAnsi="仿宋_GB2312" w:eastAsia="仿宋_GB2312" w:cs="仿宋_GB2312"/>
                <w:b w:val="0"/>
                <w:bCs w:val="0"/>
                <w:color w:val="000000"/>
                <w:sz w:val="28"/>
                <w:szCs w:val="28"/>
                <w:lang w:val="en-US" w:eastAsia="zh-CN"/>
              </w:rPr>
              <w:t>秸秆综合利用的对策建议。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13</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山区</w:t>
            </w:r>
            <w:r>
              <w:rPr>
                <w:rFonts w:hint="eastAsia" w:ascii="仿宋_GB2312" w:hAnsi="仿宋_GB2312" w:eastAsia="仿宋_GB2312" w:cs="仿宋_GB2312"/>
                <w:b w:val="0"/>
                <w:bCs w:val="0"/>
                <w:color w:val="auto"/>
                <w:sz w:val="28"/>
                <w:szCs w:val="28"/>
              </w:rPr>
              <w:t>低收入</w:t>
            </w:r>
            <w:r>
              <w:rPr>
                <w:rFonts w:hint="eastAsia" w:ascii="仿宋_GB2312" w:hAnsi="仿宋_GB2312" w:eastAsia="仿宋_GB2312" w:cs="仿宋_GB2312"/>
                <w:b w:val="0"/>
                <w:bCs w:val="0"/>
                <w:color w:val="auto"/>
                <w:sz w:val="28"/>
                <w:szCs w:val="28"/>
                <w:lang w:eastAsia="zh-CN"/>
              </w:rPr>
              <w:t>农户长效</w:t>
            </w:r>
            <w:r>
              <w:rPr>
                <w:rFonts w:hint="eastAsia" w:ascii="仿宋_GB2312" w:hAnsi="仿宋_GB2312" w:eastAsia="仿宋_GB2312" w:cs="仿宋_GB2312"/>
                <w:b w:val="0"/>
                <w:bCs w:val="0"/>
                <w:color w:val="auto"/>
                <w:sz w:val="28"/>
                <w:szCs w:val="28"/>
              </w:rPr>
              <w:t>帮扶机制研究</w:t>
            </w:r>
          </w:p>
        </w:tc>
        <w:tc>
          <w:tcPr>
            <w:tcW w:w="10410"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分析</w:t>
            </w:r>
            <w:r>
              <w:rPr>
                <w:rFonts w:hint="eastAsia" w:ascii="仿宋_GB2312" w:hAnsi="仿宋_GB2312" w:eastAsia="仿宋_GB2312" w:cs="仿宋_GB2312"/>
                <w:b w:val="0"/>
                <w:bCs w:val="0"/>
                <w:color w:val="auto"/>
                <w:sz w:val="28"/>
                <w:szCs w:val="28"/>
                <w:lang w:val="en-US" w:eastAsia="zh-CN"/>
              </w:rPr>
              <w:t>本地区（市或县）</w:t>
            </w:r>
            <w:r>
              <w:rPr>
                <w:rFonts w:hint="eastAsia" w:ascii="仿宋_GB2312" w:hAnsi="仿宋_GB2312" w:eastAsia="仿宋_GB2312" w:cs="仿宋_GB2312"/>
                <w:b w:val="0"/>
                <w:bCs w:val="0"/>
                <w:color w:val="auto"/>
                <w:sz w:val="28"/>
                <w:szCs w:val="28"/>
              </w:rPr>
              <w:t>低收入</w:t>
            </w:r>
            <w:r>
              <w:rPr>
                <w:rFonts w:hint="eastAsia" w:ascii="仿宋_GB2312" w:hAnsi="仿宋_GB2312" w:eastAsia="仿宋_GB2312" w:cs="仿宋_GB2312"/>
                <w:b w:val="0"/>
                <w:bCs w:val="0"/>
                <w:color w:val="auto"/>
                <w:sz w:val="28"/>
                <w:szCs w:val="28"/>
                <w:lang w:eastAsia="zh-CN"/>
              </w:rPr>
              <w:t>农户</w:t>
            </w:r>
            <w:r>
              <w:rPr>
                <w:rFonts w:hint="eastAsia" w:ascii="仿宋_GB2312" w:hAnsi="仿宋_GB2312" w:eastAsia="仿宋_GB2312" w:cs="仿宋_GB2312"/>
                <w:b w:val="0"/>
                <w:bCs w:val="0"/>
                <w:color w:val="auto"/>
                <w:sz w:val="28"/>
                <w:szCs w:val="28"/>
              </w:rPr>
              <w:t>常态化帮扶的政策体系</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机制</w:t>
            </w:r>
            <w:r>
              <w:rPr>
                <w:rFonts w:hint="eastAsia" w:ascii="仿宋_GB2312" w:hAnsi="仿宋_GB2312" w:eastAsia="仿宋_GB2312" w:cs="仿宋_GB2312"/>
                <w:b w:val="0"/>
                <w:bCs w:val="0"/>
                <w:color w:val="auto"/>
                <w:sz w:val="28"/>
                <w:szCs w:val="28"/>
                <w:lang w:eastAsia="zh-CN"/>
              </w:rPr>
              <w:t>现状、制约因素，提出</w:t>
            </w:r>
            <w:r>
              <w:rPr>
                <w:rFonts w:hint="eastAsia" w:ascii="仿宋_GB2312" w:hAnsi="仿宋_GB2312" w:eastAsia="仿宋_GB2312" w:cs="仿宋_GB2312"/>
                <w:b w:val="0"/>
                <w:bCs w:val="0"/>
                <w:color w:val="auto"/>
                <w:sz w:val="28"/>
                <w:szCs w:val="28"/>
              </w:rPr>
              <w:t>细化</w:t>
            </w:r>
            <w:r>
              <w:rPr>
                <w:rFonts w:hint="eastAsia" w:ascii="仿宋_GB2312" w:hAnsi="仿宋_GB2312" w:eastAsia="仿宋_GB2312" w:cs="仿宋_GB2312"/>
                <w:b w:val="0"/>
                <w:bCs w:val="0"/>
                <w:color w:val="auto"/>
                <w:sz w:val="28"/>
                <w:szCs w:val="28"/>
                <w:lang w:eastAsia="zh-CN"/>
              </w:rPr>
              <w:t>完善</w:t>
            </w:r>
            <w:r>
              <w:rPr>
                <w:rFonts w:hint="eastAsia" w:ascii="仿宋_GB2312" w:hAnsi="仿宋_GB2312" w:eastAsia="仿宋_GB2312" w:cs="仿宋_GB2312"/>
                <w:b w:val="0"/>
                <w:bCs w:val="0"/>
                <w:color w:val="auto"/>
                <w:sz w:val="28"/>
                <w:szCs w:val="28"/>
              </w:rPr>
              <w:t>防止</w:t>
            </w:r>
            <w:r>
              <w:rPr>
                <w:rFonts w:hint="eastAsia" w:ascii="仿宋_GB2312" w:hAnsi="仿宋_GB2312" w:eastAsia="仿宋_GB2312" w:cs="仿宋_GB2312"/>
                <w:b w:val="0"/>
                <w:bCs w:val="0"/>
                <w:color w:val="auto"/>
                <w:sz w:val="28"/>
                <w:szCs w:val="28"/>
                <w:lang w:eastAsia="zh-CN"/>
              </w:rPr>
              <w:t>低收入农户</w:t>
            </w:r>
            <w:r>
              <w:rPr>
                <w:rFonts w:hint="eastAsia" w:ascii="仿宋_GB2312" w:hAnsi="仿宋_GB2312" w:eastAsia="仿宋_GB2312" w:cs="仿宋_GB2312"/>
                <w:b w:val="0"/>
                <w:bCs w:val="0"/>
                <w:color w:val="auto"/>
                <w:sz w:val="28"/>
                <w:szCs w:val="28"/>
              </w:rPr>
              <w:t>返贫</w:t>
            </w:r>
            <w:r>
              <w:rPr>
                <w:rFonts w:hint="eastAsia" w:ascii="仿宋_GB2312" w:hAnsi="仿宋_GB2312" w:eastAsia="仿宋_GB2312" w:cs="仿宋_GB2312"/>
                <w:b w:val="0"/>
                <w:bCs w:val="0"/>
                <w:color w:val="auto"/>
                <w:sz w:val="28"/>
                <w:szCs w:val="28"/>
                <w:lang w:eastAsia="zh-CN"/>
              </w:rPr>
              <w:t>的</w:t>
            </w:r>
            <w:r>
              <w:rPr>
                <w:rFonts w:hint="eastAsia" w:ascii="仿宋_GB2312" w:hAnsi="仿宋_GB2312" w:eastAsia="仿宋_GB2312" w:cs="仿宋_GB2312"/>
                <w:b w:val="0"/>
                <w:bCs w:val="0"/>
                <w:color w:val="auto"/>
                <w:sz w:val="28"/>
                <w:szCs w:val="28"/>
              </w:rPr>
              <w:t>帮扶</w:t>
            </w:r>
            <w:r>
              <w:rPr>
                <w:rFonts w:hint="eastAsia" w:ascii="仿宋_GB2312" w:hAnsi="仿宋_GB2312" w:eastAsia="仿宋_GB2312" w:cs="仿宋_GB2312"/>
                <w:b w:val="0"/>
                <w:bCs w:val="0"/>
                <w:color w:val="auto"/>
                <w:sz w:val="28"/>
                <w:szCs w:val="28"/>
                <w:lang w:eastAsia="zh-CN"/>
              </w:rPr>
              <w:t>机制和持续增收的长效</w:t>
            </w:r>
            <w:r>
              <w:rPr>
                <w:rFonts w:hint="eastAsia" w:ascii="仿宋_GB2312" w:hAnsi="仿宋_GB2312" w:eastAsia="仿宋_GB2312" w:cs="仿宋_GB2312"/>
                <w:b w:val="0"/>
                <w:bCs w:val="0"/>
                <w:color w:val="auto"/>
                <w:sz w:val="28"/>
                <w:szCs w:val="28"/>
              </w:rPr>
              <w:t>帮扶机制。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14</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山区区域帮扶协作发展机制研究</w:t>
            </w:r>
          </w:p>
        </w:tc>
        <w:tc>
          <w:tcPr>
            <w:tcW w:w="10410" w:type="dxa"/>
            <w:noWrap w:val="0"/>
            <w:vAlign w:val="center"/>
          </w:tcPr>
          <w:p>
            <w:pPr>
              <w:pStyle w:val="5"/>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napToGrid w:val="0"/>
                <w:color w:val="FF000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梳理分析当前山海协作工程、农村工作指导员等多种形式的帮扶机制运行情况、实践成果以及存在的短板问题，探索双向协同发展机制。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15</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山区</w:t>
            </w:r>
            <w:r>
              <w:rPr>
                <w:rFonts w:hint="eastAsia" w:ascii="仿宋_GB2312" w:hAnsi="仿宋_GB2312" w:eastAsia="仿宋_GB2312" w:cs="仿宋_GB2312"/>
                <w:b w:val="0"/>
                <w:bCs w:val="0"/>
                <w:color w:val="auto"/>
                <w:sz w:val="28"/>
                <w:szCs w:val="28"/>
              </w:rPr>
              <w:t>“土特产”</w:t>
            </w:r>
            <w:r>
              <w:rPr>
                <w:rFonts w:hint="eastAsia" w:ascii="仿宋_GB2312" w:hAnsi="仿宋_GB2312" w:eastAsia="仿宋_GB2312" w:cs="仿宋_GB2312"/>
                <w:b w:val="0"/>
                <w:bCs w:val="0"/>
                <w:color w:val="auto"/>
                <w:sz w:val="28"/>
                <w:szCs w:val="28"/>
                <w:lang w:eastAsia="zh-CN"/>
              </w:rPr>
              <w:t>先行发展研究</w:t>
            </w:r>
          </w:p>
        </w:tc>
        <w:tc>
          <w:tcPr>
            <w:tcW w:w="10410" w:type="dxa"/>
            <w:noWrap w:val="0"/>
            <w:vAlign w:val="center"/>
          </w:tcPr>
          <w:p>
            <w:pPr>
              <w:pStyle w:val="5"/>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napToGrid w:val="0"/>
                <w:color w:val="FF0000"/>
                <w:kern w:val="2"/>
                <w:sz w:val="28"/>
                <w:szCs w:val="28"/>
                <w:lang w:val="en-US" w:eastAsia="zh-CN" w:bidi="ar-SA"/>
              </w:rPr>
            </w:pPr>
            <w:r>
              <w:rPr>
                <w:rFonts w:hint="eastAsia" w:ascii="仿宋_GB2312" w:hAnsi="仿宋_GB2312" w:eastAsia="仿宋_GB2312" w:cs="仿宋_GB2312"/>
                <w:b w:val="0"/>
                <w:bCs w:val="0"/>
                <w:color w:val="auto"/>
                <w:sz w:val="28"/>
                <w:szCs w:val="28"/>
              </w:rPr>
              <w:t>分析</w:t>
            </w:r>
            <w:r>
              <w:rPr>
                <w:rFonts w:hint="eastAsia" w:ascii="仿宋_GB2312" w:hAnsi="仿宋_GB2312" w:eastAsia="仿宋_GB2312" w:cs="仿宋_GB2312"/>
                <w:b w:val="0"/>
                <w:bCs w:val="0"/>
                <w:color w:val="auto"/>
                <w:sz w:val="28"/>
                <w:szCs w:val="28"/>
                <w:lang w:val="en-US" w:eastAsia="zh-CN"/>
              </w:rPr>
              <w:t>本地区（市或县）研究提出推动乡村特色产业全链条升级，增强产品市场竞争力、产业可持续发展能力的有效路径。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16</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eastAsia="zh-CN"/>
              </w:rPr>
              <w:t>山区</w:t>
            </w:r>
            <w:r>
              <w:rPr>
                <w:rFonts w:hint="eastAsia" w:ascii="仿宋_GB2312" w:hAnsi="仿宋_GB2312" w:eastAsia="仿宋_GB2312" w:cs="仿宋_GB2312"/>
                <w:b w:val="0"/>
                <w:bCs w:val="0"/>
                <w:color w:val="auto"/>
                <w:sz w:val="28"/>
                <w:szCs w:val="28"/>
              </w:rPr>
              <w:t>重要农产品</w:t>
            </w:r>
            <w:r>
              <w:rPr>
                <w:rFonts w:hint="eastAsia" w:ascii="仿宋_GB2312" w:hAnsi="仿宋_GB2312" w:eastAsia="仿宋_GB2312" w:cs="仿宋_GB2312"/>
                <w:b w:val="0"/>
                <w:bCs w:val="0"/>
                <w:color w:val="auto"/>
                <w:sz w:val="28"/>
                <w:szCs w:val="28"/>
                <w:lang w:eastAsia="zh-CN"/>
              </w:rPr>
              <w:t>保供能力提升</w:t>
            </w:r>
            <w:r>
              <w:rPr>
                <w:rFonts w:hint="eastAsia" w:ascii="仿宋_GB2312" w:hAnsi="仿宋_GB2312" w:eastAsia="仿宋_GB2312" w:cs="仿宋_GB2312"/>
                <w:b w:val="0"/>
                <w:bCs w:val="0"/>
                <w:color w:val="auto"/>
                <w:sz w:val="28"/>
                <w:szCs w:val="28"/>
              </w:rPr>
              <w:t>研究</w:t>
            </w:r>
          </w:p>
        </w:tc>
        <w:tc>
          <w:tcPr>
            <w:tcW w:w="10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eastAsia="zh-CN"/>
              </w:rPr>
              <w:t>分析</w:t>
            </w:r>
            <w:r>
              <w:rPr>
                <w:rFonts w:hint="eastAsia" w:ascii="仿宋_GB2312" w:hAnsi="仿宋_GB2312" w:eastAsia="仿宋_GB2312" w:cs="仿宋_GB2312"/>
                <w:b w:val="0"/>
                <w:bCs w:val="0"/>
                <w:color w:val="auto"/>
                <w:sz w:val="28"/>
                <w:szCs w:val="28"/>
                <w:lang w:val="en-US" w:eastAsia="zh-CN"/>
              </w:rPr>
              <w:t>本地区（市或县）</w:t>
            </w:r>
            <w:r>
              <w:rPr>
                <w:rFonts w:hint="eastAsia" w:ascii="仿宋_GB2312" w:hAnsi="仿宋_GB2312" w:eastAsia="仿宋_GB2312" w:cs="仿宋_GB2312"/>
                <w:b w:val="0"/>
                <w:bCs w:val="0"/>
                <w:color w:val="auto"/>
                <w:sz w:val="28"/>
                <w:szCs w:val="28"/>
                <w:lang w:eastAsia="zh-CN"/>
              </w:rPr>
              <w:t>粮食、蔬菜等重要农产品稳产保供体系现状、</w:t>
            </w:r>
            <w:r>
              <w:rPr>
                <w:rFonts w:hint="eastAsia" w:ascii="仿宋_GB2312" w:hAnsi="仿宋_GB2312" w:eastAsia="仿宋_GB2312" w:cs="仿宋_GB2312"/>
                <w:b w:val="0"/>
                <w:bCs w:val="0"/>
                <w:i w:val="0"/>
                <w:iCs w:val="0"/>
                <w:caps w:val="0"/>
                <w:color w:val="auto"/>
                <w:spacing w:val="0"/>
                <w:kern w:val="0"/>
                <w:sz w:val="28"/>
                <w:szCs w:val="28"/>
                <w:shd w:val="clear" w:color="auto" w:fill="FFFFFF"/>
                <w:lang w:val="en-US" w:eastAsia="zh-CN" w:bidi="ar"/>
              </w:rPr>
              <w:t>面临的挑战和机遇等，研究提出</w:t>
            </w:r>
            <w:r>
              <w:rPr>
                <w:rFonts w:hint="eastAsia" w:ascii="仿宋_GB2312" w:hAnsi="仿宋_GB2312" w:eastAsia="仿宋_GB2312" w:cs="仿宋_GB2312"/>
                <w:b w:val="0"/>
                <w:bCs w:val="0"/>
                <w:color w:val="auto"/>
                <w:sz w:val="28"/>
                <w:szCs w:val="28"/>
                <w:lang w:eastAsia="zh-CN"/>
              </w:rPr>
              <w:t>重要农产品保供能力提升的具体</w:t>
            </w:r>
            <w:r>
              <w:rPr>
                <w:rFonts w:hint="eastAsia" w:ascii="仿宋_GB2312" w:hAnsi="仿宋_GB2312" w:eastAsia="仿宋_GB2312" w:cs="仿宋_GB2312"/>
                <w:b w:val="0"/>
                <w:bCs w:val="0"/>
                <w:color w:val="auto"/>
                <w:sz w:val="28"/>
                <w:szCs w:val="28"/>
              </w:rPr>
              <w:t>路径</w:t>
            </w:r>
            <w:r>
              <w:rPr>
                <w:rFonts w:hint="eastAsia" w:ascii="仿宋_GB2312" w:hAnsi="仿宋_GB2312" w:eastAsia="仿宋_GB2312" w:cs="仿宋_GB2312"/>
                <w:b w:val="0"/>
                <w:bCs w:val="0"/>
                <w:color w:val="auto"/>
                <w:sz w:val="28"/>
                <w:szCs w:val="28"/>
                <w:lang w:eastAsia="zh-CN"/>
              </w:rPr>
              <w:t>和举措</w:t>
            </w:r>
            <w:r>
              <w:rPr>
                <w:rFonts w:hint="eastAsia" w:ascii="仿宋_GB2312" w:hAnsi="仿宋_GB2312" w:eastAsia="仿宋_GB2312" w:cs="仿宋_GB2312"/>
                <w:b w:val="0"/>
                <w:bCs w:val="0"/>
                <w:color w:val="auto"/>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17</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加强山区耕地保护和质量建设研究</w:t>
            </w:r>
          </w:p>
        </w:tc>
        <w:tc>
          <w:tcPr>
            <w:tcW w:w="10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调研本地区（市或县）耕地耕地保护机制建立情况等，分析耕地资源保护和质量管控的难点，研究提出加强耕地保护和质量建设的有效</w:t>
            </w:r>
            <w:r>
              <w:rPr>
                <w:rFonts w:hint="eastAsia" w:ascii="仿宋_GB2312" w:hAnsi="仿宋_GB2312" w:eastAsia="仿宋_GB2312" w:cs="仿宋_GB2312"/>
                <w:b w:val="0"/>
                <w:bCs w:val="0"/>
                <w:color w:val="auto"/>
                <w:sz w:val="28"/>
                <w:szCs w:val="28"/>
              </w:rPr>
              <w:t>举措和机制政策。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18</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eastAsia="zh-CN"/>
              </w:rPr>
              <w:t>提升山区</w:t>
            </w:r>
            <w:r>
              <w:rPr>
                <w:rFonts w:hint="eastAsia" w:ascii="仿宋_GB2312" w:hAnsi="仿宋_GB2312" w:eastAsia="仿宋_GB2312" w:cs="仿宋_GB2312"/>
                <w:b w:val="0"/>
                <w:bCs w:val="0"/>
                <w:color w:val="auto"/>
                <w:sz w:val="28"/>
                <w:szCs w:val="28"/>
              </w:rPr>
              <w:t>高标准农田</w:t>
            </w:r>
            <w:r>
              <w:rPr>
                <w:rFonts w:hint="eastAsia" w:ascii="仿宋_GB2312" w:hAnsi="仿宋_GB2312" w:eastAsia="仿宋_GB2312" w:cs="仿宋_GB2312"/>
                <w:b w:val="0"/>
                <w:bCs w:val="0"/>
                <w:color w:val="auto"/>
                <w:sz w:val="28"/>
                <w:szCs w:val="28"/>
                <w:lang w:eastAsia="zh-CN"/>
              </w:rPr>
              <w:t>建设质效</w:t>
            </w:r>
            <w:r>
              <w:rPr>
                <w:rFonts w:hint="eastAsia" w:ascii="仿宋_GB2312" w:hAnsi="仿宋_GB2312" w:eastAsia="仿宋_GB2312" w:cs="仿宋_GB2312"/>
                <w:b w:val="0"/>
                <w:bCs w:val="0"/>
                <w:color w:val="auto"/>
                <w:sz w:val="28"/>
                <w:szCs w:val="28"/>
              </w:rPr>
              <w:t>研究</w:t>
            </w:r>
          </w:p>
        </w:tc>
        <w:tc>
          <w:tcPr>
            <w:tcW w:w="10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rPr>
              <w:t>深入分析</w:t>
            </w:r>
            <w:r>
              <w:rPr>
                <w:rFonts w:hint="eastAsia" w:ascii="仿宋_GB2312" w:hAnsi="仿宋_GB2312" w:eastAsia="仿宋_GB2312" w:cs="仿宋_GB2312"/>
                <w:b w:val="0"/>
                <w:bCs w:val="0"/>
                <w:color w:val="auto"/>
                <w:sz w:val="28"/>
                <w:szCs w:val="28"/>
                <w:lang w:val="en-US" w:eastAsia="zh-CN"/>
              </w:rPr>
              <w:t>本地区（市或县）</w:t>
            </w:r>
            <w:r>
              <w:rPr>
                <w:rFonts w:hint="eastAsia" w:ascii="仿宋_GB2312" w:hAnsi="仿宋_GB2312" w:eastAsia="仿宋_GB2312" w:cs="仿宋_GB2312"/>
                <w:b w:val="0"/>
                <w:bCs w:val="0"/>
                <w:color w:val="auto"/>
                <w:sz w:val="28"/>
                <w:szCs w:val="28"/>
              </w:rPr>
              <w:t>永久基本农田和已建高标准农田现状，研究明确高标准农田新建和改造提升方法路径、投入建设标准和常态化长效性管护机制等。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19</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山区</w:t>
            </w:r>
            <w:r>
              <w:rPr>
                <w:rFonts w:hint="eastAsia" w:ascii="仿宋_GB2312" w:hAnsi="仿宋_GB2312" w:eastAsia="仿宋_GB2312" w:cs="仿宋_GB2312"/>
                <w:b w:val="0"/>
                <w:bCs w:val="0"/>
                <w:color w:val="auto"/>
                <w:sz w:val="28"/>
                <w:szCs w:val="28"/>
              </w:rPr>
              <w:t>农村</w:t>
            </w:r>
            <w:r>
              <w:rPr>
                <w:rFonts w:hint="eastAsia" w:ascii="仿宋_GB2312" w:hAnsi="仿宋_GB2312" w:eastAsia="仿宋_GB2312" w:cs="仿宋_GB2312"/>
                <w:b w:val="0"/>
                <w:bCs w:val="0"/>
                <w:color w:val="auto"/>
                <w:sz w:val="28"/>
                <w:szCs w:val="28"/>
                <w:lang w:eastAsia="zh-CN"/>
              </w:rPr>
              <w:t>居民</w:t>
            </w:r>
            <w:r>
              <w:rPr>
                <w:rFonts w:hint="eastAsia" w:ascii="仿宋_GB2312" w:hAnsi="仿宋_GB2312" w:eastAsia="仿宋_GB2312" w:cs="仿宋_GB2312"/>
                <w:b w:val="0"/>
                <w:bCs w:val="0"/>
                <w:color w:val="auto"/>
                <w:sz w:val="28"/>
                <w:szCs w:val="28"/>
              </w:rPr>
              <w:t>生活</w:t>
            </w:r>
            <w:r>
              <w:rPr>
                <w:rFonts w:hint="eastAsia" w:ascii="仿宋_GB2312" w:hAnsi="仿宋_GB2312" w:eastAsia="仿宋_GB2312" w:cs="仿宋_GB2312"/>
                <w:b w:val="0"/>
                <w:bCs w:val="0"/>
                <w:color w:val="auto"/>
                <w:sz w:val="28"/>
                <w:szCs w:val="28"/>
                <w:lang w:eastAsia="zh-CN"/>
              </w:rPr>
              <w:t>品质提升研究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从</w:t>
            </w:r>
            <w:r>
              <w:rPr>
                <w:rFonts w:hint="eastAsia" w:ascii="仿宋_GB2312" w:hAnsi="仿宋_GB2312" w:eastAsia="仿宋_GB2312" w:cs="仿宋_GB2312"/>
                <w:b w:val="0"/>
                <w:bCs w:val="0"/>
                <w:color w:val="auto"/>
                <w:sz w:val="28"/>
                <w:szCs w:val="28"/>
              </w:rPr>
              <w:t>乡村基础设施完备度、公共服务便利度、人居环境舒适度，</w:t>
            </w:r>
            <w:r>
              <w:rPr>
                <w:rFonts w:hint="eastAsia" w:ascii="仿宋_GB2312" w:hAnsi="仿宋_GB2312" w:eastAsia="仿宋_GB2312" w:cs="仿宋_GB2312"/>
                <w:b w:val="0"/>
                <w:bCs w:val="0"/>
                <w:color w:val="auto"/>
                <w:sz w:val="28"/>
                <w:szCs w:val="28"/>
                <w:lang w:eastAsia="zh-CN"/>
              </w:rPr>
              <w:t>文化文明兴盛度、乡村社会和谐度等方面分析研究提出提升农村居民生活品质的对策建议。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20</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乡村新型业态发展模式研究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left"/>
              <w:textAlignment w:val="auto"/>
              <w:rPr>
                <w:rFonts w:hint="eastAsia" w:ascii="仿宋_GB2312" w:hAnsi="仿宋_GB2312" w:eastAsia="仿宋_GB2312" w:cs="仿宋_GB2312"/>
                <w:b w:val="0"/>
                <w:bCs w:val="0"/>
                <w:snapToGrid w:val="0"/>
                <w:color w:val="FF000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分析</w:t>
            </w:r>
            <w:r>
              <w:rPr>
                <w:rStyle w:val="9"/>
                <w:rFonts w:hint="eastAsia" w:ascii="仿宋_GB2312" w:hAnsi="仿宋_GB2312" w:eastAsia="仿宋_GB2312" w:cs="仿宋_GB2312"/>
                <w:b w:val="0"/>
                <w:bCs w:val="0"/>
                <w:i w:val="0"/>
                <w:iCs w:val="0"/>
                <w:caps w:val="0"/>
                <w:color w:val="auto"/>
                <w:spacing w:val="0"/>
                <w:kern w:val="0"/>
                <w:sz w:val="28"/>
                <w:szCs w:val="28"/>
                <w:shd w:val="clear" w:color="auto" w:fill="FFFFFF"/>
                <w:lang w:val="en-US" w:eastAsia="zh-CN" w:bidi="ar"/>
              </w:rPr>
              <w:t>以农民为主体的电商直播、文化创意、民俗节庆等乡村新业态的发展模式</w:t>
            </w:r>
            <w:r>
              <w:rPr>
                <w:rFonts w:hint="eastAsia" w:ascii="仿宋_GB2312" w:hAnsi="仿宋_GB2312" w:eastAsia="仿宋_GB2312" w:cs="仿宋_GB2312"/>
                <w:b w:val="0"/>
                <w:bCs w:val="0"/>
                <w:i w:val="0"/>
                <w:iCs w:val="0"/>
                <w:caps w:val="0"/>
                <w:color w:val="auto"/>
                <w:spacing w:val="0"/>
                <w:kern w:val="0"/>
                <w:sz w:val="28"/>
                <w:szCs w:val="28"/>
                <w:shd w:val="clear" w:color="auto" w:fill="FFFFFF"/>
                <w:lang w:val="en-US" w:eastAsia="zh-CN" w:bidi="ar"/>
              </w:rPr>
              <w:t>等现状，研究提出健康发展的路径与策略。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21</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山区村庄特色塑造和建设管控研究</w:t>
            </w:r>
          </w:p>
        </w:tc>
        <w:tc>
          <w:tcPr>
            <w:tcW w:w="10410" w:type="dxa"/>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分析总结乡村规划设计、农村人居环境整治等发展现状和经验模式，提出深化乡村特色风貌打造和管控的政策体系和工作举措。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22</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共同富裕背景下山区农民农村增收共富路径探究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auto"/>
                <w:sz w:val="28"/>
                <w:szCs w:val="28"/>
                <w:lang w:eastAsia="zh-CN"/>
              </w:rPr>
              <w:t>分析我市农民收入近年来增长和结构变化趋势，深入探究影响农民收入稳定增长的</w:t>
            </w:r>
            <w:r>
              <w:rPr>
                <w:rFonts w:hint="eastAsia" w:ascii="仿宋_GB2312" w:hAnsi="仿宋_GB2312" w:eastAsia="仿宋_GB2312" w:cs="仿宋_GB2312"/>
                <w:b w:val="0"/>
                <w:bCs w:val="0"/>
                <w:color w:val="auto"/>
                <w:sz w:val="28"/>
                <w:szCs w:val="28"/>
                <w:lang w:val="en-US" w:eastAsia="zh-CN"/>
              </w:rPr>
              <w:t>各类</w:t>
            </w:r>
            <w:r>
              <w:rPr>
                <w:rFonts w:hint="eastAsia" w:ascii="仿宋_GB2312" w:hAnsi="仿宋_GB2312" w:eastAsia="仿宋_GB2312" w:cs="仿宋_GB2312"/>
                <w:b w:val="0"/>
                <w:bCs w:val="0"/>
                <w:color w:val="auto"/>
                <w:sz w:val="28"/>
                <w:szCs w:val="28"/>
                <w:lang w:eastAsia="zh-CN"/>
              </w:rPr>
              <w:t>因素、</w:t>
            </w:r>
            <w:r>
              <w:rPr>
                <w:rFonts w:hint="eastAsia" w:ascii="仿宋_GB2312" w:hAnsi="仿宋_GB2312" w:eastAsia="仿宋_GB2312" w:cs="仿宋_GB2312"/>
                <w:b w:val="0"/>
                <w:bCs w:val="0"/>
                <w:color w:val="auto"/>
                <w:sz w:val="28"/>
                <w:szCs w:val="28"/>
                <w:lang w:val="en-US" w:eastAsia="zh-CN"/>
              </w:rPr>
              <w:t>具体路径</w:t>
            </w:r>
            <w:r>
              <w:rPr>
                <w:rFonts w:hint="eastAsia" w:ascii="仿宋_GB2312" w:hAnsi="仿宋_GB2312" w:eastAsia="仿宋_GB2312" w:cs="仿宋_GB2312"/>
                <w:b w:val="0"/>
                <w:bCs w:val="0"/>
                <w:color w:val="auto"/>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eastAsia" w:ascii="仿宋_GB2312" w:hAnsi="仿宋_GB2312" w:eastAsia="仿宋_GB2312" w:cs="仿宋_GB2312"/>
                <w:b w:val="0"/>
                <w:bCs w:val="0"/>
                <w:sz w:val="28"/>
                <w:szCs w:val="28"/>
                <w:lang w:val="en-US" w:eastAsia="zh-CN"/>
              </w:rPr>
              <w:t>2</w:t>
            </w:r>
            <w:r>
              <w:rPr>
                <w:rFonts w:hint="default" w:ascii="仿宋_GB2312" w:hAnsi="仿宋_GB2312" w:eastAsia="仿宋_GB2312" w:cs="仿宋_GB2312"/>
                <w:b w:val="0"/>
                <w:bCs w:val="0"/>
                <w:sz w:val="28"/>
                <w:szCs w:val="28"/>
                <w:lang w:val="en" w:eastAsia="zh-CN"/>
              </w:rPr>
              <w:t>3</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lang w:eastAsia="zh-CN"/>
              </w:rPr>
              <w:t>山区现代“新农人”队伍建设</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b w:val="0"/>
                <w:bCs w:val="0"/>
                <w:sz w:val="28"/>
                <w:szCs w:val="28"/>
                <w:lang w:val="en-US" w:eastAsia="zh-CN"/>
              </w:rPr>
              <w:t>坚持培育现代化特质“新农人”目标，研究</w:t>
            </w:r>
            <w:r>
              <w:rPr>
                <w:rFonts w:hint="eastAsia" w:ascii="仿宋_GB2312" w:hAnsi="仿宋_GB2312" w:eastAsia="仿宋_GB2312" w:cs="仿宋_GB2312"/>
                <w:b w:val="0"/>
                <w:bCs w:val="0"/>
                <w:sz w:val="28"/>
                <w:szCs w:val="28"/>
                <w:lang w:eastAsia="zh-CN"/>
              </w:rPr>
              <w:t>深化完善</w:t>
            </w:r>
            <w:r>
              <w:rPr>
                <w:rFonts w:hint="eastAsia" w:ascii="仿宋_GB2312" w:hAnsi="仿宋_GB2312" w:eastAsia="仿宋_GB2312" w:cs="仿宋_GB2312"/>
                <w:b w:val="0"/>
                <w:bCs w:val="0"/>
                <w:sz w:val="28"/>
                <w:szCs w:val="28"/>
                <w:lang w:val="en-US" w:eastAsia="zh-CN"/>
              </w:rPr>
              <w:t>现代“新农人”培育机制、路径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24</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山区农业科技创新与农业新质生产力培育对策研究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b w:val="0"/>
                <w:bCs w:val="0"/>
                <w:color w:val="auto"/>
                <w:sz w:val="28"/>
                <w:szCs w:val="28"/>
                <w:lang w:val="en-US" w:eastAsia="zh-CN"/>
              </w:rPr>
              <w:t>剖析在农业科技全产业链建设与产学研用科技创新协同等面临的困境，提出我市农业科技创新与推广的基本思路和创新举措。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25</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“山”字系品牌联农带农益农政策引领研究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color w:val="auto"/>
                <w:sz w:val="28"/>
                <w:szCs w:val="28"/>
                <w:lang w:val="en-US" w:eastAsia="zh-CN"/>
              </w:rPr>
              <w:t>分析本地区（市或县）名牌农产品、知名农业区域公用品牌等发展状况，研究提出加强“山”字系品牌联农带农益农政策引领建设的对策建议</w:t>
            </w:r>
            <w:r>
              <w:rPr>
                <w:rFonts w:hint="eastAsia" w:ascii="仿宋_GB2312" w:hAnsi="仿宋_GB2312" w:eastAsia="仿宋_GB2312" w:cs="仿宋_GB2312"/>
                <w:b w:val="0"/>
                <w:bCs w:val="0"/>
                <w:color w:val="auto"/>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26</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sz w:val="28"/>
                <w:szCs w:val="28"/>
                <w:lang w:eastAsia="zh-CN"/>
              </w:rPr>
              <w:t>山区</w:t>
            </w:r>
            <w:r>
              <w:rPr>
                <w:rFonts w:hint="eastAsia" w:ascii="仿宋_GB2312" w:hAnsi="仿宋_GB2312" w:eastAsia="仿宋_GB2312" w:cs="仿宋_GB2312"/>
                <w:b w:val="0"/>
                <w:bCs w:val="0"/>
                <w:color w:val="000000"/>
                <w:sz w:val="28"/>
                <w:szCs w:val="28"/>
              </w:rPr>
              <w:t>政策性农业保险</w:t>
            </w:r>
            <w:r>
              <w:rPr>
                <w:rFonts w:hint="eastAsia" w:ascii="仿宋_GB2312" w:hAnsi="仿宋_GB2312" w:eastAsia="仿宋_GB2312" w:cs="仿宋_GB2312"/>
                <w:b w:val="0"/>
                <w:bCs w:val="0"/>
                <w:color w:val="000000"/>
                <w:sz w:val="28"/>
                <w:szCs w:val="28"/>
                <w:lang w:eastAsia="zh-CN"/>
              </w:rPr>
              <w:t>与灾害应对机制研究</w:t>
            </w:r>
          </w:p>
        </w:tc>
        <w:tc>
          <w:tcPr>
            <w:tcW w:w="10410"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sz w:val="28"/>
                <w:szCs w:val="28"/>
                <w:lang w:eastAsia="zh-CN"/>
              </w:rPr>
              <w:t>开展</w:t>
            </w:r>
            <w:r>
              <w:rPr>
                <w:rFonts w:hint="eastAsia" w:ascii="仿宋_GB2312" w:hAnsi="仿宋_GB2312" w:eastAsia="仿宋_GB2312" w:cs="仿宋_GB2312"/>
                <w:b w:val="0"/>
                <w:bCs w:val="0"/>
                <w:color w:val="000000"/>
                <w:sz w:val="28"/>
                <w:szCs w:val="28"/>
              </w:rPr>
              <w:t>政策性农业保险</w:t>
            </w:r>
            <w:r>
              <w:rPr>
                <w:rFonts w:hint="eastAsia" w:ascii="仿宋_GB2312" w:hAnsi="仿宋_GB2312" w:eastAsia="仿宋_GB2312" w:cs="仿宋_GB2312"/>
                <w:b w:val="0"/>
                <w:bCs w:val="0"/>
                <w:color w:val="000000"/>
                <w:sz w:val="28"/>
                <w:szCs w:val="28"/>
                <w:lang w:eastAsia="zh-CN"/>
              </w:rPr>
              <w:t>功能与灾害应对机制研究，</w:t>
            </w:r>
            <w:r>
              <w:rPr>
                <w:rFonts w:hint="eastAsia" w:ascii="仿宋_GB2312" w:hAnsi="仿宋_GB2312" w:eastAsia="仿宋_GB2312" w:cs="仿宋_GB2312"/>
                <w:b w:val="0"/>
                <w:bCs w:val="0"/>
                <w:sz w:val="28"/>
                <w:szCs w:val="28"/>
                <w:highlight w:val="none"/>
              </w:rPr>
              <w:t>提出相应对策促进</w:t>
            </w:r>
            <w:r>
              <w:rPr>
                <w:rFonts w:hint="eastAsia" w:ascii="仿宋_GB2312" w:hAnsi="仿宋_GB2312" w:eastAsia="仿宋_GB2312" w:cs="仿宋_GB2312"/>
                <w:b w:val="0"/>
                <w:bCs w:val="0"/>
                <w:sz w:val="28"/>
                <w:szCs w:val="28"/>
                <w:highlight w:val="none"/>
                <w:lang w:eastAsia="zh-CN"/>
              </w:rPr>
              <w:t>山区政策性</w:t>
            </w:r>
            <w:r>
              <w:rPr>
                <w:rFonts w:hint="eastAsia" w:ascii="仿宋_GB2312" w:hAnsi="仿宋_GB2312" w:eastAsia="仿宋_GB2312" w:cs="仿宋_GB2312"/>
                <w:b w:val="0"/>
                <w:bCs w:val="0"/>
                <w:sz w:val="28"/>
                <w:szCs w:val="28"/>
                <w:highlight w:val="none"/>
              </w:rPr>
              <w:t>农业保险高质量发展</w:t>
            </w:r>
            <w:r>
              <w:rPr>
                <w:rFonts w:hint="eastAsia" w:ascii="仿宋_GB2312" w:hAnsi="仿宋_GB2312" w:eastAsia="仿宋_GB2312" w:cs="仿宋_GB2312"/>
                <w:b w:val="0"/>
                <w:bCs w:val="0"/>
                <w:sz w:val="28"/>
                <w:szCs w:val="2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27</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val="en-US" w:eastAsia="zh-CN"/>
              </w:rPr>
              <w:t>山区种植业高质量发展思路与对策研究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auto"/>
                <w:sz w:val="28"/>
                <w:szCs w:val="28"/>
                <w:lang w:eastAsia="zh-CN"/>
              </w:rPr>
              <w:t>分析山区种植业高质量发展存在的问题和薄弱点，提出山区种植业高质量发展的思路和对策。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28</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lang w:eastAsia="zh-CN"/>
              </w:rPr>
              <w:t>山区村级债务问题及管控机制研究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b w:val="0"/>
                <w:bCs w:val="0"/>
                <w:color w:val="000000"/>
                <w:sz w:val="28"/>
                <w:szCs w:val="28"/>
                <w:lang w:eastAsia="zh-CN"/>
              </w:rPr>
              <w:t>全面调查分析村级债务现状和经验，研究提出全面加强我市村级债务管控的对策措施。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29</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left"/>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乡村产业用地保障路径和对策研究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分析调查全市乡村产业用地现状和需求，摸清全市乡村产业用地保障堵点问题，研究提出保障乡村产业用地的对策建议。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30</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统筹推进全面加强乡村经营和乡村治理研究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分析乡村经营和乡村治理现状、问题，提出统筹推进</w:t>
            </w:r>
            <w:r>
              <w:rPr>
                <w:rFonts w:hint="eastAsia" w:ascii="仿宋_GB2312" w:hAnsi="仿宋_GB2312" w:eastAsia="仿宋_GB2312" w:cs="仿宋_GB2312"/>
                <w:b w:val="0"/>
                <w:bCs w:val="0"/>
                <w:sz w:val="28"/>
                <w:szCs w:val="28"/>
                <w:lang w:eastAsia="zh-CN"/>
              </w:rPr>
              <w:t>全面加强乡村经营和乡村治理效能对策建议。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31</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统筹实施协同推进跨山统筹富民安居和山区基本公共服务跨山统筹一体化改革研究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left"/>
              <w:textAlignment w:val="auto"/>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sz w:val="28"/>
                <w:szCs w:val="28"/>
                <w:lang w:eastAsia="zh-CN"/>
              </w:rPr>
              <w:t>分析跨山统筹富民安居和山区基本公共服务跨山统筹一体化改革现状、问题，提出统筹实施协同推进跨山统筹富民安居和山区基本公共服务跨山统筹一体化改革对策建议。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32</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eastAsia="zh-CN"/>
              </w:rPr>
              <w:t>浅析以机关文化建设打造“第一等干事氛围”的实践路径</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eastAsia="zh-CN"/>
              </w:rPr>
              <w:t>梳理总结实施局机关文化建设</w:t>
            </w:r>
            <w:r>
              <w:rPr>
                <w:rFonts w:hint="eastAsia" w:ascii="仿宋_GB2312" w:hAnsi="仿宋_GB2312" w:eastAsia="仿宋_GB2312" w:cs="仿宋_GB2312"/>
                <w:b w:val="0"/>
                <w:bCs w:val="0"/>
                <w:sz w:val="28"/>
                <w:szCs w:val="28"/>
                <w:lang w:val="en-US" w:eastAsia="zh-CN"/>
              </w:rPr>
              <w:t>的</w:t>
            </w:r>
            <w:r>
              <w:rPr>
                <w:rFonts w:hint="eastAsia" w:ascii="仿宋_GB2312" w:hAnsi="仿宋_GB2312" w:eastAsia="仿宋_GB2312" w:cs="仿宋_GB2312"/>
                <w:b w:val="0"/>
                <w:bCs w:val="0"/>
                <w:sz w:val="28"/>
                <w:szCs w:val="28"/>
                <w:lang w:eastAsia="zh-CN"/>
              </w:rPr>
              <w:t>举措、成效，调查干部职工对机关文化建设的看法和意见建议，研究推进中值得关注的问题和改进措施。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33</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lang w:eastAsia="zh-CN"/>
              </w:rPr>
              <w:t>“大综合一体化”行政执法改革背景下加强山区农业行政执法思路举措</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color w:val="000000"/>
                <w:sz w:val="28"/>
                <w:szCs w:val="28"/>
                <w:lang w:eastAsia="zh-CN"/>
              </w:rPr>
              <w:t>深入了解山区农业执法现状、存在问题，提出下一步加强农业行政执法工作的意见建议和具体工作举措。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34</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lang w:val="en-US" w:eastAsia="zh-CN"/>
              </w:rPr>
              <w:t>山区现代农业园区建设巩固提升的对策研究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sz w:val="28"/>
                <w:szCs w:val="28"/>
                <w:lang w:val="en-US" w:eastAsia="zh-CN"/>
              </w:rPr>
              <w:t>系统总结省级现代农业园区建设阶段性成效和存在的问题，提炼形成建设典型模式，研究提出全市现代农业园区巩固提升发展的路径和对策。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35</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eastAsia="zh-CN"/>
              </w:rPr>
              <w:t>丽水市数字乡村发展现状及对策研究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sz w:val="28"/>
                <w:szCs w:val="28"/>
                <w:lang w:val="en-US" w:eastAsia="zh-CN"/>
              </w:rPr>
              <w:t>聚焦数字乡村引领区中期评估及数字乡村发展水平监测工作，总结提炼典型模式和制度机制，研究提出我市数字乡村高质量发展对策建议。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36</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sz w:val="28"/>
                <w:szCs w:val="28"/>
                <w:lang w:eastAsia="zh-CN"/>
              </w:rPr>
              <w:t>山区</w:t>
            </w:r>
            <w:r>
              <w:rPr>
                <w:rFonts w:hint="eastAsia" w:ascii="仿宋_GB2312" w:hAnsi="仿宋_GB2312" w:eastAsia="仿宋_GB2312" w:cs="仿宋_GB2312"/>
                <w:b w:val="0"/>
                <w:bCs w:val="0"/>
                <w:color w:val="000000"/>
                <w:sz w:val="28"/>
                <w:szCs w:val="28"/>
              </w:rPr>
              <w:t>农机社会化服务组织联农带农机制研究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rPr>
              <w:t>全面调查我</w:t>
            </w:r>
            <w:r>
              <w:rPr>
                <w:rFonts w:hint="eastAsia" w:ascii="仿宋_GB2312" w:hAnsi="仿宋_GB2312" w:eastAsia="仿宋_GB2312" w:cs="仿宋_GB2312"/>
                <w:b w:val="0"/>
                <w:bCs w:val="0"/>
                <w:sz w:val="28"/>
                <w:szCs w:val="28"/>
                <w:lang w:eastAsia="zh-CN"/>
              </w:rPr>
              <w:t>市</w:t>
            </w:r>
            <w:r>
              <w:rPr>
                <w:rFonts w:hint="eastAsia" w:ascii="仿宋_GB2312" w:hAnsi="仿宋_GB2312" w:eastAsia="仿宋_GB2312" w:cs="仿宋_GB2312"/>
                <w:b w:val="0"/>
                <w:bCs w:val="0"/>
                <w:sz w:val="28"/>
                <w:szCs w:val="28"/>
              </w:rPr>
              <w:t>农事服务中心建设运营情况，总结丘陵山区不同服务模式，提出推进涉农县农事服务中心服务全覆盖联农带农作用的对策建议</w:t>
            </w:r>
            <w:r>
              <w:rPr>
                <w:rFonts w:hint="eastAsia" w:ascii="仿宋_GB2312" w:hAnsi="仿宋_GB2312" w:eastAsia="仿宋_GB2312" w:cs="仿宋_GB2312"/>
                <w:b w:val="0"/>
                <w:bCs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37</w:t>
            </w:r>
          </w:p>
        </w:tc>
        <w:tc>
          <w:tcPr>
            <w:tcW w:w="364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 w:eastAsia="zh-CN"/>
              </w:rPr>
              <w:t>丽水市国有农场改革发展对策研究</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 w:eastAsia="zh-CN"/>
              </w:rPr>
              <w:t>梳理全市国有农场改革发展基本情况，分析优势和短板，提出推动高质量发展的对策建议。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38</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sz w:val="28"/>
                <w:szCs w:val="28"/>
                <w:lang w:val="en-US" w:eastAsia="zh-CN"/>
              </w:rPr>
              <w:t>山区农创客培养模式与路径探索</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sz w:val="28"/>
                <w:szCs w:val="28"/>
                <w:lang w:val="en-US" w:eastAsia="zh-CN"/>
              </w:rPr>
              <w:t>聚焦壮大农创客队伍，研究在农创平台提升、能力提升、促农共富上的创新实践和亮点做法。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39</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sz w:val="28"/>
                <w:szCs w:val="28"/>
                <w:lang w:eastAsia="zh-CN"/>
              </w:rPr>
              <w:t>丽水市</w:t>
            </w:r>
            <w:r>
              <w:rPr>
                <w:rFonts w:hint="eastAsia" w:ascii="仿宋_GB2312" w:hAnsi="仿宋_GB2312" w:eastAsia="仿宋_GB2312" w:cs="仿宋_GB2312"/>
                <w:b w:val="0"/>
                <w:bCs w:val="0"/>
                <w:color w:val="000000"/>
                <w:sz w:val="28"/>
                <w:szCs w:val="28"/>
              </w:rPr>
              <w:t>水产养殖尾水治理现状与提标推进思考</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
              </w:rPr>
              <w:t>总结现有养殖尾水治理模式，对标分析治理效果，提出改进的工作措施和技术措施等。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98"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leftChars="0" w:right="0" w:rightChars="0"/>
              <w:jc w:val="center"/>
              <w:textAlignment w:val="auto"/>
              <w:rPr>
                <w:rFonts w:hint="default" w:ascii="仿宋_GB2312" w:hAnsi="仿宋_GB2312" w:eastAsia="仿宋_GB2312" w:cs="仿宋_GB2312"/>
                <w:b w:val="0"/>
                <w:bCs w:val="0"/>
                <w:sz w:val="28"/>
                <w:szCs w:val="28"/>
                <w:lang w:val="en"/>
              </w:rPr>
            </w:pPr>
            <w:r>
              <w:rPr>
                <w:rFonts w:hint="default" w:ascii="仿宋_GB2312" w:hAnsi="仿宋_GB2312" w:eastAsia="仿宋_GB2312" w:cs="仿宋_GB2312"/>
                <w:b w:val="0"/>
                <w:bCs w:val="0"/>
                <w:sz w:val="28"/>
                <w:szCs w:val="28"/>
                <w:lang w:val="en"/>
              </w:rPr>
              <w:t>40</w:t>
            </w:r>
          </w:p>
        </w:tc>
        <w:tc>
          <w:tcPr>
            <w:tcW w:w="3642" w:type="dxa"/>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00" w:lineRule="exact"/>
              <w:ind w:left="0" w:leftChars="0" w:right="0" w:rightChars="0"/>
              <w:jc w:val="center"/>
              <w:rPr>
                <w:rFonts w:hint="default" w:ascii="仿宋_GB2312" w:hAnsi="仿宋_GB2312" w:eastAsia="仿宋_GB2312" w:cs="仿宋_GB2312"/>
                <w:b w:val="0"/>
                <w:bCs w:val="0"/>
                <w:color w:val="000000"/>
                <w:sz w:val="28"/>
                <w:szCs w:val="28"/>
                <w:lang w:val="en" w:eastAsia="zh-CN"/>
              </w:rPr>
            </w:pPr>
            <w:r>
              <w:rPr>
                <w:rFonts w:hint="eastAsia" w:ascii="仿宋_GB2312" w:hAnsi="仿宋_GB2312" w:eastAsia="仿宋_GB2312" w:cs="仿宋_GB2312"/>
                <w:b w:val="0"/>
                <w:bCs w:val="0"/>
                <w:color w:val="000000"/>
                <w:sz w:val="28"/>
                <w:szCs w:val="28"/>
                <w:lang w:val="en" w:eastAsia="zh-CN"/>
              </w:rPr>
              <w:t>其它</w:t>
            </w:r>
          </w:p>
        </w:tc>
        <w:tc>
          <w:tcPr>
            <w:tcW w:w="1041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jc w:val="left"/>
              <w:textAlignment w:val="auto"/>
              <w:outlineLvl w:val="9"/>
              <w:rPr>
                <w:rFonts w:hint="eastAsia" w:ascii="仿宋_GB2312" w:hAnsi="仿宋_GB2312" w:eastAsia="仿宋_GB2312" w:cs="仿宋_GB2312"/>
                <w:b w:val="0"/>
                <w:bCs w:val="0"/>
                <w:color w:val="000000"/>
                <w:kern w:val="2"/>
                <w:sz w:val="28"/>
                <w:szCs w:val="28"/>
                <w:lang w:val="en-US" w:eastAsia="zh-CN" w:bidi="ar"/>
              </w:rPr>
            </w:pPr>
            <w:r>
              <w:rPr>
                <w:rFonts w:hint="eastAsia" w:ascii="仿宋_GB2312" w:hAnsi="仿宋_GB2312" w:eastAsia="仿宋_GB2312" w:cs="仿宋_GB2312"/>
                <w:b w:val="0"/>
                <w:bCs w:val="0"/>
                <w:color w:val="000000"/>
                <w:kern w:val="2"/>
                <w:sz w:val="28"/>
                <w:szCs w:val="28"/>
                <w:lang w:val="en-US" w:eastAsia="zh-CN" w:bidi="ar"/>
              </w:rPr>
              <w:t>根据中央、省委、市委部署“三农”重点工作和县（市、区）工作推进难点、群众关注焦点问题开展研究</w:t>
            </w:r>
          </w:p>
        </w:tc>
      </w:tr>
    </w:tbl>
    <w:p>
      <w:pPr>
        <w:pStyle w:val="2"/>
        <w:rPr>
          <w:rFonts w:hint="eastAsia"/>
          <w:lang w:val="en-US" w:eastAsia="zh-CN"/>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558B2"/>
    <w:rsid w:val="47255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spacing w:after="0" w:line="580" w:lineRule="exact"/>
      <w:ind w:left="0" w:leftChars="0" w:firstLine="420" w:firstLineChars="200"/>
    </w:pPr>
    <w:rPr>
      <w:rFonts w:ascii="仿宋_GB2312" w:hAnsi="Times New Roman" w:eastAsia="仿宋_GB2312"/>
      <w:sz w:val="31"/>
      <w:szCs w:val="22"/>
    </w:rPr>
  </w:style>
  <w:style w:type="paragraph" w:styleId="3">
    <w:name w:val="Body Text Indent"/>
    <w:basedOn w:val="1"/>
    <w:uiPriority w:val="0"/>
    <w:pPr>
      <w:ind w:firstLine="420" w:firstLineChars="200"/>
      <w:jc w:val="left"/>
    </w:pPr>
  </w:style>
  <w:style w:type="paragraph" w:styleId="4">
    <w:name w:val="Normal Indent"/>
    <w:basedOn w:val="1"/>
    <w:next w:val="1"/>
    <w:qFormat/>
    <w:uiPriority w:val="0"/>
    <w:pPr>
      <w:widowControl w:val="0"/>
      <w:overflowPunct w:val="0"/>
      <w:topLinePunct/>
      <w:spacing w:line="56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5">
    <w:name w:val="Body Text"/>
    <w:basedOn w:val="1"/>
    <w:next w:val="1"/>
    <w:qFormat/>
    <w:uiPriority w:val="0"/>
    <w:pPr>
      <w:widowControl w:val="0"/>
      <w:tabs>
        <w:tab w:val="left" w:pos="2250"/>
      </w:tabs>
      <w:spacing w:line="240" w:lineRule="auto"/>
      <w:jc w:val="center"/>
    </w:pPr>
    <w:rPr>
      <w:rFonts w:ascii="仿宋_GB2312" w:hAnsi="仿宋_GB2312" w:eastAsia="仿宋_GB2312"/>
      <w:snapToGrid w:val="0"/>
      <w:color w:val="FF0000"/>
      <w:sz w:val="32"/>
      <w:szCs w:val="32"/>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2024-07-10T02:57:00Z</dcterms:created>
  <dc:creator>汤汤爱吃泡饭的汤汤</dc:creator>
  <cp:lastModifiedBy>汤汤爱吃泡饭的汤汤</cp:lastModifiedBy>
  <dcterms:modified xsi:type="dcterms:W3CDTF">2024-07-10T02:57:56Z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