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topLinePunct/>
        <w:spacing w:line="60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overflowPunct w:val="0"/>
        <w:topLinePunct/>
        <w:spacing w:line="600" w:lineRule="exact"/>
        <w:jc w:val="left"/>
        <w:rPr>
          <w:rFonts w:hint="eastAsia" w:ascii="Times New Roman" w:hAnsi="Times New Roman" w:eastAsia="黑体" w:cs="黑体"/>
          <w:sz w:val="32"/>
          <w:szCs w:val="32"/>
          <w:lang w:val="en-US" w:eastAsia="zh-CN"/>
        </w:rPr>
      </w:pPr>
    </w:p>
    <w:p>
      <w:pPr>
        <w:spacing w:line="700" w:lineRule="exact"/>
        <w:jc w:val="center"/>
        <w:rPr>
          <w:rFonts w:hint="eastAsia" w:ascii="Times New Roman" w:hAnsi="Times New Roman" w:eastAsia="方正小标宋简体" w:cs="Times New Roman"/>
          <w:sz w:val="44"/>
          <w:szCs w:val="36"/>
          <w:lang w:val="en-US" w:eastAsia="zh-CN"/>
        </w:rPr>
      </w:pPr>
      <w:r>
        <w:rPr>
          <w:rFonts w:hint="eastAsia" w:ascii="Times New Roman" w:hAnsi="Times New Roman" w:eastAsia="方正小标宋简体" w:cs="Times New Roman"/>
          <w:sz w:val="44"/>
          <w:szCs w:val="36"/>
          <w:lang w:val="en-US" w:eastAsia="zh-CN"/>
        </w:rPr>
        <w:t>第九届全国青年科普创新实验暨作品大赛（浙江赛区）实施方案</w:t>
      </w:r>
    </w:p>
    <w:p>
      <w:pPr>
        <w:spacing w:line="700" w:lineRule="exact"/>
        <w:jc w:val="center"/>
        <w:rPr>
          <w:rFonts w:hint="eastAsia" w:ascii="Times New Roman" w:hAnsi="Times New Roman" w:eastAsia="方正小标宋简体" w:cs="Times New Roman"/>
          <w:sz w:val="44"/>
          <w:szCs w:val="36"/>
          <w:lang w:val="en-US" w:eastAsia="zh-CN"/>
        </w:rPr>
      </w:pP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为贯彻落实《中国科协办公厅关于举办第九届全国青年科普创新实验暨作品大赛的通知》（科协办函普字〔2022〕</w:t>
      </w:r>
      <w:bookmarkStart w:id="0" w:name="_GoBack"/>
      <w:bookmarkEnd w:id="0"/>
      <w:r>
        <w:rPr>
          <w:rFonts w:hint="eastAsia" w:ascii="Times New Roman" w:hAnsi="Times New Roman" w:eastAsia="仿宋_GB2312" w:cs="Times New Roman"/>
          <w:sz w:val="32"/>
          <w:szCs w:val="22"/>
          <w:lang w:val="en-US" w:eastAsia="zh-CN"/>
        </w:rPr>
        <w:t>117号）精神，根据《第九届全国青年科普创新实验暨作品大赛方案》有关规定，结合浙江赛区实际情况，特制订本实施方案。</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一、大赛主题</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大赛围绕“智慧·安全·环保”三大主题，关注前沿科学技术、公共安全健康等领域的科研应用与普及，考查青少年发现问题、解决问题及动手实践能力。</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二、大赛时间</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浙江赛区比赛时间：2023年3-5月</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全国总决赛时间：2023年6-8月</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三、组织机构</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楷体" w:cs="Times New Roman"/>
          <w:sz w:val="32"/>
          <w:szCs w:val="36"/>
          <w:lang w:val="en-US" w:eastAsia="zh-CN"/>
        </w:rPr>
      </w:pPr>
      <w:r>
        <w:rPr>
          <w:rFonts w:hint="eastAsia" w:ascii="Times New Roman" w:hAnsi="Times New Roman" w:eastAsia="楷体" w:cs="Times New Roman"/>
          <w:sz w:val="32"/>
          <w:szCs w:val="36"/>
          <w:lang w:val="en-US" w:eastAsia="zh-CN"/>
        </w:rPr>
        <w:t>　　（一）主承办单位</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主办单位：浙江省科学技术协会</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xml:space="preserve">　　承办单位：浙江省科技馆（浙江省青少年科技活动中心） </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楷体" w:cs="Times New Roman"/>
          <w:sz w:val="32"/>
          <w:szCs w:val="36"/>
          <w:lang w:val="en-US" w:eastAsia="zh-CN"/>
        </w:rPr>
      </w:pPr>
      <w:r>
        <w:rPr>
          <w:rFonts w:hint="eastAsia" w:ascii="Times New Roman" w:hAnsi="Times New Roman" w:eastAsia="楷体" w:cs="Times New Roman"/>
          <w:sz w:val="32"/>
          <w:szCs w:val="36"/>
          <w:lang w:val="en-US" w:eastAsia="zh-CN"/>
        </w:rPr>
        <w:t>　　（二）组织委员会</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第九届全国青年科普创新实验暨作品大赛（浙江赛区）成立组织委员会（以下简称“组委会”），组委会秘书处设在浙江省科技馆，负责总体统筹浙江赛区大赛相关工作。</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楷体" w:cs="Times New Roman"/>
          <w:sz w:val="32"/>
          <w:szCs w:val="36"/>
          <w:lang w:val="en-US" w:eastAsia="zh-CN"/>
        </w:rPr>
      </w:pPr>
      <w:r>
        <w:rPr>
          <w:rFonts w:hint="eastAsia" w:ascii="Times New Roman" w:hAnsi="Times New Roman" w:eastAsia="楷体" w:cs="Times New Roman"/>
          <w:sz w:val="32"/>
          <w:szCs w:val="36"/>
          <w:lang w:val="en-US" w:eastAsia="zh-CN"/>
        </w:rPr>
        <w:t>　　（三）专家委员会</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专家委员会负责评审参赛作品，审核把关作品科学性、真实性等。</w:t>
      </w:r>
    </w:p>
    <w:p>
      <w:pPr>
        <w:numPr>
          <w:ilvl w:val="0"/>
          <w:numId w:val="0"/>
        </w:numPr>
        <w:overflowPunct w:val="0"/>
        <w:topLinePunct/>
        <w:spacing w:line="600" w:lineRule="exact"/>
        <w:ind w:firstLine="640" w:firstLineChars="200"/>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四、参赛对象</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参赛对象分为两类。</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第一类为中学组，包括全省初中、中专、技校、高中等在校学生。</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第二类为大学组，包括全省高职、大专、本科、研究生等在校学生。</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每支参赛队伍由参赛选手和指导老师组成，每支队伍的参赛选手及指导老师人数根据不同项目而不同，参赛队伍指导老师须为学校指导老师。</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五、赛制设置</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楷体" w:cs="Times New Roman"/>
          <w:sz w:val="32"/>
          <w:szCs w:val="36"/>
          <w:lang w:val="en-US" w:eastAsia="zh-CN"/>
        </w:rPr>
      </w:pPr>
      <w:r>
        <w:rPr>
          <w:rFonts w:hint="eastAsia" w:ascii="Times New Roman" w:hAnsi="Times New Roman" w:eastAsia="楷体" w:cs="Times New Roman"/>
          <w:sz w:val="32"/>
          <w:szCs w:val="36"/>
          <w:lang w:val="en-US" w:eastAsia="zh-CN"/>
        </w:rPr>
        <w:t>　　（一）竞赛项目</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大赛设“创意作品”和“科普实验”两类项目。</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1.创意作品项目：突出发现和解决实际问题的能力，设置“智慧社区”命题，鼓励学生在智慧社区建设相关背景下发现身边问题，并提出解决方案，设计系统模型，创作相关作品。</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2.科普实验项目：突出任务驱动，将竞赛与科普活动紧密结合，设置“未来太空车”命题，引导学生面向未来，利用指定材料，自行设计并搭建装置，在指定区域完成预设的任务。</w:t>
      </w:r>
    </w:p>
    <w:tbl>
      <w:tblPr>
        <w:tblStyle w:val="2"/>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2237"/>
        <w:gridCol w:w="1507"/>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 w:hRule="atLeast"/>
          <w:jc w:val="center"/>
        </w:trPr>
        <w:tc>
          <w:tcPr>
            <w:tcW w:w="1111"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center"/>
              <w:textAlignment w:val="auto"/>
              <w:rPr>
                <w:rFonts w:hint="eastAsia" w:ascii="黑体" w:hAnsi="黑体" w:eastAsia="黑体" w:cs="黑体"/>
                <w:sz w:val="32"/>
                <w:szCs w:val="22"/>
                <w:lang w:val="en-US" w:eastAsia="zh-CN"/>
              </w:rPr>
            </w:pPr>
            <w:r>
              <w:rPr>
                <w:rFonts w:hint="eastAsia" w:ascii="黑体" w:hAnsi="黑体" w:eastAsia="黑体" w:cs="黑体"/>
                <w:sz w:val="32"/>
                <w:szCs w:val="22"/>
                <w:lang w:val="en-US" w:eastAsia="zh-CN"/>
              </w:rPr>
              <w:t>项目</w:t>
            </w:r>
          </w:p>
        </w:tc>
        <w:tc>
          <w:tcPr>
            <w:tcW w:w="2237"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center"/>
              <w:textAlignment w:val="auto"/>
              <w:rPr>
                <w:rFonts w:hint="eastAsia" w:ascii="黑体" w:hAnsi="黑体" w:eastAsia="黑体" w:cs="黑体"/>
                <w:sz w:val="32"/>
                <w:szCs w:val="22"/>
                <w:lang w:val="en-US" w:eastAsia="zh-CN"/>
              </w:rPr>
            </w:pPr>
            <w:r>
              <w:rPr>
                <w:rFonts w:hint="eastAsia" w:ascii="黑体" w:hAnsi="黑体" w:eastAsia="黑体" w:cs="黑体"/>
                <w:sz w:val="32"/>
                <w:szCs w:val="22"/>
                <w:lang w:val="en-US" w:eastAsia="zh-CN"/>
              </w:rPr>
              <w:t>命题</w:t>
            </w:r>
          </w:p>
        </w:tc>
        <w:tc>
          <w:tcPr>
            <w:tcW w:w="1507" w:type="dxa"/>
            <w:noWrap w:val="0"/>
            <w:vAlign w:val="top"/>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center"/>
              <w:textAlignment w:val="auto"/>
              <w:rPr>
                <w:rFonts w:hint="eastAsia" w:ascii="黑体" w:hAnsi="黑体" w:eastAsia="黑体" w:cs="黑体"/>
                <w:sz w:val="32"/>
                <w:szCs w:val="22"/>
                <w:lang w:val="en-US" w:eastAsia="zh-CN"/>
              </w:rPr>
            </w:pPr>
            <w:r>
              <w:rPr>
                <w:rFonts w:hint="eastAsia" w:ascii="黑体" w:hAnsi="黑体" w:eastAsia="黑体" w:cs="黑体"/>
                <w:sz w:val="32"/>
                <w:szCs w:val="22"/>
                <w:lang w:val="en-US" w:eastAsia="zh-CN"/>
              </w:rPr>
              <w:t>组别</w:t>
            </w:r>
          </w:p>
        </w:tc>
        <w:tc>
          <w:tcPr>
            <w:tcW w:w="3990"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center"/>
              <w:textAlignment w:val="auto"/>
              <w:rPr>
                <w:rFonts w:hint="eastAsia" w:ascii="黑体" w:hAnsi="黑体" w:eastAsia="黑体" w:cs="黑体"/>
                <w:sz w:val="32"/>
                <w:szCs w:val="22"/>
                <w:lang w:val="en-US" w:eastAsia="zh-CN"/>
              </w:rPr>
            </w:pPr>
            <w:r>
              <w:rPr>
                <w:rFonts w:hint="eastAsia" w:ascii="黑体" w:hAnsi="黑体" w:eastAsia="黑体" w:cs="黑体"/>
                <w:sz w:val="32"/>
                <w:szCs w:val="22"/>
                <w:lang w:val="en-US"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6" w:hRule="atLeast"/>
          <w:jc w:val="center"/>
        </w:trPr>
        <w:tc>
          <w:tcPr>
            <w:tcW w:w="1111" w:type="dxa"/>
            <w:vMerge w:val="restart"/>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center"/>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创意作品</w:t>
            </w:r>
          </w:p>
        </w:tc>
        <w:tc>
          <w:tcPr>
            <w:tcW w:w="2237" w:type="dxa"/>
            <w:vMerge w:val="restart"/>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智慧社区</w:t>
            </w:r>
          </w:p>
        </w:tc>
        <w:tc>
          <w:tcPr>
            <w:tcW w:w="1507"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 w:eastAsia="zh-CN"/>
              </w:rPr>
            </w:pPr>
            <w:r>
              <w:rPr>
                <w:rFonts w:hint="eastAsia" w:ascii="Times New Roman" w:hAnsi="Times New Roman" w:eastAsia="仿宋_GB2312" w:cs="Times New Roman"/>
                <w:sz w:val="32"/>
                <w:szCs w:val="22"/>
                <w:lang w:val="en" w:eastAsia="zh-CN"/>
              </w:rPr>
              <w:t>大学组</w:t>
            </w:r>
          </w:p>
        </w:tc>
        <w:tc>
          <w:tcPr>
            <w:tcW w:w="3990" w:type="dxa"/>
            <w:vMerge w:val="restart"/>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以智慧社区为背景，鼓励学生围绕家居生活、社区服务等方面，发现生活中的实际问题，并利用人工智能、物联网相关技术创作作品，解决问题，实现既定目标。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111" w:type="dxa"/>
            <w:vMerge w:val="continue"/>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center"/>
              <w:textAlignment w:val="auto"/>
              <w:rPr>
                <w:rFonts w:hint="eastAsia" w:ascii="Times New Roman" w:hAnsi="Times New Roman" w:eastAsia="仿宋_GB2312" w:cs="Times New Roman"/>
                <w:sz w:val="32"/>
                <w:szCs w:val="22"/>
                <w:lang w:val="en-US" w:eastAsia="zh-CN"/>
              </w:rPr>
            </w:pPr>
          </w:p>
        </w:tc>
        <w:tc>
          <w:tcPr>
            <w:tcW w:w="2237" w:type="dxa"/>
            <w:vMerge w:val="continue"/>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p>
        </w:tc>
        <w:tc>
          <w:tcPr>
            <w:tcW w:w="1507"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 w:eastAsia="zh-CN"/>
              </w:rPr>
            </w:pPr>
            <w:r>
              <w:rPr>
                <w:rFonts w:hint="eastAsia" w:ascii="Times New Roman" w:hAnsi="Times New Roman" w:eastAsia="仿宋_GB2312" w:cs="Times New Roman"/>
                <w:sz w:val="32"/>
                <w:szCs w:val="22"/>
                <w:lang w:val="en" w:eastAsia="zh-CN"/>
              </w:rPr>
              <w:t>中学组</w:t>
            </w:r>
          </w:p>
        </w:tc>
        <w:tc>
          <w:tcPr>
            <w:tcW w:w="3990" w:type="dxa"/>
            <w:vMerge w:val="continue"/>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111"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center"/>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科普实验</w:t>
            </w:r>
          </w:p>
        </w:tc>
        <w:tc>
          <w:tcPr>
            <w:tcW w:w="2237"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未来太空车</w:t>
            </w:r>
          </w:p>
        </w:tc>
        <w:tc>
          <w:tcPr>
            <w:tcW w:w="1507"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中学组</w:t>
            </w:r>
          </w:p>
        </w:tc>
        <w:tc>
          <w:tcPr>
            <w:tcW w:w="3990" w:type="dxa"/>
            <w:noWrap w:val="0"/>
            <w:vAlign w:val="center"/>
          </w:tcPr>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以太空探索为背景，鼓励学生利用科技手段和创新思维，面向未来开展创意实验设计，利用指定动力系统，自选材料制作装置，在赛道上完成行驶和攀爬等指定任务。</w:t>
            </w:r>
          </w:p>
        </w:tc>
      </w:tr>
    </w:tbl>
    <w:p>
      <w:pPr>
        <w:keepNext w:val="0"/>
        <w:keepLines w:val="0"/>
        <w:pageBreakBefore w:val="0"/>
        <w:widowControl w:val="0"/>
        <w:numPr>
          <w:ilvl w:val="0"/>
          <w:numId w:val="0"/>
        </w:numPr>
        <w:kinsoku/>
        <w:wordWrap/>
        <w:overflowPunct w:val="0"/>
        <w:topLinePunct/>
        <w:autoSpaceDE/>
        <w:autoSpaceDN/>
        <w:bidi w:val="0"/>
        <w:adjustRightInd/>
        <w:snapToGrid/>
        <w:spacing w:line="600" w:lineRule="exact"/>
        <w:ind w:firstLine="640" w:firstLineChars="200"/>
        <w:jc w:val="both"/>
        <w:textAlignment w:val="auto"/>
        <w:rPr>
          <w:rFonts w:hint="eastAsia" w:ascii="Times New Roman" w:hAnsi="Times New Roman" w:eastAsia="楷体" w:cs="Times New Roman"/>
          <w:sz w:val="32"/>
          <w:szCs w:val="36"/>
          <w:lang w:val="en-US" w:eastAsia="zh-CN"/>
        </w:rPr>
      </w:pPr>
      <w:r>
        <w:rPr>
          <w:rFonts w:hint="eastAsia" w:ascii="Times New Roman" w:hAnsi="Times New Roman" w:eastAsia="楷体" w:cs="Times New Roman"/>
          <w:sz w:val="32"/>
          <w:szCs w:val="36"/>
          <w:lang w:val="en-US" w:eastAsia="zh-CN"/>
        </w:rPr>
        <w:t>（二）赛程设置</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1.申报选拔阶段，组织发动各地开展大赛选拔和网上申报。各参赛队伍按要求在大赛官方网站报名并提交作品，“智慧社区”项目组入围复赛名单经大赛组委会进行资格审查后在信息发布网站公布；“未来太空车”项目组入围复赛名单经地市或学校选拔后由市级组织单位报大赛组委会公布。</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2.复赛，由浙江赛区组委会组织专家对提交的作品进行评审或组织现场赛事，根据成绩确定奖级和入围全国决赛的队伍。具体参赛事项另行通知。</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大赛各项目组的参赛承诺和声明，以及赛事信息请及时关注大赛信息发布网站。</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六、赛事安排</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1.启动阶段（3-4月）。根据全国活动安排，发布浙江赛区大赛通知、实施方案、参赛规则。</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2.申报阶段（4-5月）。各地组织发动网上申报、大赛选拔活动，开展复赛各组项目征集、资格审查、选拔推荐工作。申报时间：即日起至4月20日，申报网站：https://kepudasai.cdstm.cn。</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3.复赛阶段（5月）。组织开展大赛各组项目评审、展示、交流、评选等活动，产生入围全国决赛的作品。</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4.决赛阶段（6-8月）。组织浙江赛区项目参加全国决赛。</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七、奖项设置</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1.等级奖：各项目原则上按照入围复赛作品数量的10%、20%和30%设置一、二、三等奖，其余入围复赛作品获优秀奖。具体获奖比例视参赛作品数量实际情况调整。各项目各组别按照复赛成绩排名择优推荐参加全国决赛。</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2.优秀指导教师奖：获得复赛一等奖队伍的指导老师可获得优秀指导教师奖。</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3.学校团体奖：表彰组织规范、宣传效果好、参赛数量多、成绩优异的学校团体。</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4.优秀组织奖：表彰组织工作严谨细致、规范有序，参赛规模大、获奖成绩好的市级组织单位和高校。</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八、纪律监督</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主办单位纪委对比赛全程进行监督，包括程序合理性、评审公正性等内容。如发现比赛出现违纪违规行为，或者接到任何投诉或问题的反映，大赛组委会将及时调查并协调解决。</w:t>
      </w:r>
    </w:p>
    <w:p>
      <w:pPr>
        <w:numPr>
          <w:ilvl w:val="0"/>
          <w:numId w:val="0"/>
        </w:numPr>
        <w:overflowPunct w:val="0"/>
        <w:topLinePunct/>
        <w:spacing w:line="600" w:lineRule="exac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　　九、工作要求</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r>
        <w:rPr>
          <w:rFonts w:hint="eastAsia" w:ascii="Times New Roman" w:hAnsi="Times New Roman" w:eastAsia="仿宋_GB2312" w:cs="Times New Roman"/>
          <w:sz w:val="32"/>
          <w:szCs w:val="22"/>
          <w:lang w:val="en-US" w:eastAsia="zh-CN"/>
        </w:rPr>
        <w:t>　　各单位将切实负起组织管理责任，在活动组织过程中制定安全预案，落实安全措施，突出重点环节，确保比赛稳妥、安全有序地开展。</w:t>
      </w:r>
    </w:p>
    <w:p>
      <w:pPr>
        <w:keepNext w:val="0"/>
        <w:keepLines w:val="0"/>
        <w:pageBreakBefore w:val="0"/>
        <w:widowControl w:val="0"/>
        <w:numPr>
          <w:ilvl w:val="0"/>
          <w:numId w:val="0"/>
        </w:numPr>
        <w:kinsoku/>
        <w:wordWrap/>
        <w:overflowPunct w:val="0"/>
        <w:topLinePunct/>
        <w:autoSpaceDE/>
        <w:autoSpaceDN/>
        <w:bidi w:val="0"/>
        <w:adjustRightInd/>
        <w:snapToGrid/>
        <w:spacing w:line="600" w:lineRule="exact"/>
        <w:jc w:val="both"/>
        <w:textAlignment w:val="auto"/>
        <w:rPr>
          <w:rFonts w:hint="eastAsia" w:ascii="Times New Roman" w:hAnsi="Times New Roman" w:eastAsia="仿宋_GB2312" w:cs="Times New Roman"/>
          <w:sz w:val="32"/>
          <w:szCs w:val="22"/>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黑体">
    <w:altName w:val="方正黑体_GBK"/>
    <w:panose1 w:val="02010609060101010101"/>
    <w:charset w:val="00"/>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00"/>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DDD6CD4"/>
    <w:rsid w:val="1FFD181E"/>
    <w:rsid w:val="67DE516D"/>
    <w:rsid w:val="7E6B591F"/>
    <w:rsid w:val="9F8DD8A1"/>
    <w:rsid w:val="C9B9E5B6"/>
    <w:rsid w:val="DDDD6CD4"/>
    <w:rsid w:val="EFB349BA"/>
    <w:rsid w:val="FF3FA4A6"/>
    <w:rsid w:val="FFFEF648"/>
    <w:rsid w:val="FFFFF3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3.66666666666667</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2023-03-22T01:01:00Z</dcterms:created>
  <dc:creator>user</dc:creator>
  <cp:lastModifiedBy>user</cp:lastModifiedBy>
  <dcterms:modified xsi:type="dcterms:W3CDTF">2023-03-31T11:49:07Z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F1886B4DB20D769069B01764ACFFF361</vt:lpwstr>
  </property>
</Properties>
</file>